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htm"/>
      <w:bookmarkStart w:id="1" w:name="ksforms1"/>
      <w:bookmarkEnd w:id="0"/>
      <w:bookmarkEnd w:id="1"/>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27,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AIxCrypto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26-3474527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Code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1990 E Grand Ave, El Segundo, CA 90245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 853-1683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Jiawei Wang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 E Grand Ave, El Segundo, CA 90245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(310)853-1683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165"/>
        <w:gridCol w:w="2060"/>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Henry Yin, Esq.</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Hermione Krumm, Esq.</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2206-19 Jardine House</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 Park Avenue</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Connaught Place</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10154</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Hong Kong SAR</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407-4000</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 3923-1111</w:t>
            </w:r>
          </w:p>
        </w:tc>
        <w:tc>
          <w:tcPr>
            <w:tcW w:w="206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As soon as practicable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1895"/>
        <w:gridCol w:w="230"/>
        <w:gridCol w:w="2285"/>
        <w:gridCol w:w="24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9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jc w:val="center"/>
        <w:rPr>
          <w:caps w:val="false"/>
          <w:smallCaps w:val="false"/>
        </w:rPr>
      </w:pPr>
      <w:r>
        <w:rPr>
          <w:caps w:val="false"/>
          <w:smallCaps w:val="false"/>
        </w:rPr>
        <w:t> </w:t>
      </w:r>
    </w:p>
    <w:tbl>
      <w:tblPr>
        <w:tblW w:w="7395" w:type="dxa"/>
        <w:jc w:val="left"/>
        <w:tblInd w:w="0" w:type="dxa"/>
        <w:tblLayout w:type="fixed"/>
        <w:tblCellMar>
          <w:top w:w="0" w:type="dxa"/>
          <w:left w:w="0" w:type="dxa"/>
          <w:bottom w:w="0" w:type="dxa"/>
          <w:right w:w="0" w:type="dxa"/>
        </w:tblCellMar>
      </w:tblPr>
      <w:tblGrid>
        <w:gridCol w:w="2645"/>
        <w:gridCol w:w="60"/>
        <w:gridCol w:w="2735"/>
        <w:gridCol w:w="60"/>
        <w:gridCol w:w="1895"/>
      </w:tblGrid>
      <w:tr>
        <w:trPr/>
        <w:tc>
          <w:tcPr>
            <w:tcW w:w="2645"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60" w:type="dxa"/>
            <w:tcBorders/>
            <w:vAlign w:val="center"/>
          </w:tcPr>
          <w:p>
            <w:pPr>
              <w:pStyle w:val="TableContents"/>
              <w:bidi w:val="0"/>
              <w:spacing w:before="0" w:after="283"/>
              <w:jc w:val="left"/>
              <w:rPr>
                <w:color w:val="FF0000"/>
              </w:rPr>
            </w:pPr>
            <w:r>
              <w:rPr>
                <w:color w:val="FF0000"/>
              </w:rPr>
              <w:t> </w:t>
            </w:r>
          </w:p>
        </w:tc>
        <w:tc>
          <w:tcPr>
            <w:tcW w:w="2735"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60" w:type="dxa"/>
            <w:tcBorders/>
            <w:vAlign w:val="center"/>
          </w:tcPr>
          <w:p>
            <w:pPr>
              <w:pStyle w:val="TableContents"/>
              <w:bidi w:val="0"/>
              <w:spacing w:before="0" w:after="283"/>
              <w:jc w:val="left"/>
              <w:rPr>
                <w:color w:val="FF0000"/>
              </w:rPr>
            </w:pPr>
            <w:r>
              <w:rPr>
                <w:color w:val="FF0000"/>
              </w:rPr>
              <w:t> </w:t>
            </w:r>
          </w:p>
        </w:tc>
        <w:tc>
          <w:tcPr>
            <w:tcW w:w="189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July 27,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55 MILLION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811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638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by Gold King Arthur Holding Limited, a Hong Kong limited liability company (the “Investor,” “GKA” or the “Selling Stockholder”), of up to 55,000,000 shares (the “VWAP Shares”) of common stock, par value $0.001 per share (“Common Stock”) of AIxCrypto Holdings, Inc. (the “Company,” “we,” “us” or “our”), in connection with the Common Shares Purchase Agreement that we entered into with the Investor on June 16, 2026 (the “Purchase Agreement”), pursuant to which we may issue and sell to the Investor shares of our Common Stock in one or more volume-weighted average price purchases (each, a “VWAP Purchase” and collectively, the “VWAP Purchases”) for an aggregate purchase price of up to $50,000,000 (the “Total Commitment”) during the period (the “Investment Period”) commencing on the effective date of the Registration Statement on Form S-1 (the “Initial Registration Statement”) to which this prospectus forms a part and expiring on the date the Purchase Agreement is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not receive any proceeds from the sale by the Selling Stockholder of its shares of Common Stock in the open market. However, we may receive up to $50,000,000 in aggregate gross proceeds upon the issuance of shares of Common Stock to the Investor under the Purchase Agreement, whereby the Company may issue up to approximately 55,000,000 VWAP Shares, based on the lowest daily dollar volume-weighted average price (“VWAP”) for the Common Stock as reported by Bloomberg on July 23, 2026, of $0.8041, with a 7% discount (and 3% Draw Fee retained by the Investor).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shares of Common Stock on behalf of the Selling Stockholder does not mean that we will issue shares to the Selling Stockholder or that the Selling Stockholder will offer or sell any shares of Common Stock. We cannot predict when, or in what amounts, we may elect to deliver notices directing the Investor to purchase Common Stock (each, a “VWAP Purchase Notice”) to the Investor, and accordingly cannot predict when or in what amounts the Selling Stockholder may sell shares of Common Stock pursuant to VWAP Purchases under the Purchase Agreement. Sales of shares of Common Stock by the Selling Stockholder may occur in open market transactions at prevailing market prices during the trading day on which a VWAP Purchase occurs (each, a “VWAP Purchase Date”). The Selling Stockholder will sell its shares of Common Stock through its broker-dealer, and retain a 3.0% Draw Fee, with the Company receiving the remaining 97% (the “Net Settlement Amount”). We provide more information about how the Selling Stockholder may sell or otherwise dispose of their shares of Common Stock in the section of this prospectus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The Selling Stockholder may be deemed an “underwriter” within the meaning of Section 2(a)(11) of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pay all brokerage fees and commissions in connection with the offer and resale of the shares by the Selling Stockholder pursuant to this prospectus. We will pay the expenses (except for sales or brokerage commissions and fees and disbursements of counsel for, and other similar expenses of the Selling Stockholder) incurred in registering under the Securities Act the offer and resale of the shares included in this prospectus by the Selling Stockholder, including legal and accounting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may, at our sole discretion, at any time and from time to time during the Investment Period, subject to the satisfaction of the conditions set forth in the Purchase Agreement, deliver to the Investor a VWAP Purchase Notice directing the Investor to purchase Common Stock. Upon delivery of a VWAP Purchase Notice by us and acceptance by the Investor, the Investor shall effect sales of such Common Stock in the open market through its broker-dealer at prevailing market prices on the applicable VWAP Purchase Date. The Investor will then remit to us ninety-seven percent (97%) of the VWAP Purchase Amount, retaining three percent (3%) of such VWAP Purchase Amount as a Draw Fee (the “Draw Fee”). The Investor may not be issued shares resulting in it owning more than 9.99% of the total outstanding Common Stock at any given time (the “Beneficial Ownership Limitation”). The purchase price we receive per share (the “VWAP Purchase Price”) equals ninety-three percent (93%) of the lowest daily VWAP (as reported by Bloomberg through its “AQR” function) over the prior three (3) trading days (each, a “Trading Day”) including the VWAP Purchase Date for such VWAP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or sell any Common Stock pursuant to the Purchase Agreement to the extent that after giving effect thereto, the aggregate number of Common Stock that would be issued pursuant to the Purchase Agreement would exceed 4,044,975 Common Stock (representing 19.99% of the voting power or number of Common Stock issued and outstanding immediately prior to the execution of the Purchase Agreement) (the “Exchange Cap”), unless the Company’s shareholders have approved (i) the issuance of Common Stock pursuant to the Purchase Agreement in excess of the Exchange Cap in accordance with Listing Rule 5635(d) of The Nasdaq Stock Market LLC, and (ii) if applicable, an amendment to the Company’s certificate of incorporation, as amended (the “Certificate of Incorporation”), to increase the number of authorized shares of Common Stock (the “Charter Amendment”), so that the Company has sufficient authorized and unreserved shares of Common Stock to reserve for issuance under the Purchase Agreement (collectively, the “Shareholder Approval”), and such Shareholder Approval has taken effect. As of the date of this prospectus, we have not obtained the Shareholder Approval, and this prospectus registers only the shares of Common Stock issuable under the Purchase Agreement up to the Exchange Cap. We intend to seek the Shareholder Approval by way of a written consent of stockholders holding a majority of our outstanding voting power in lieu of a special meeting, to be followed by the filing of a Preliminary Information Statement on Schedule 14C and a Definitive Information Statement on Schedule 14C (the “DEF 14C”) with the SEC and, if necessary, the filing of the Charter Amendment with the Secretary of State of the State of Delaware to increase the number of authorized shares of Common Stock. Until the Shareholder Approval has taken effect, we will not issue shares of Common Stock under the Purchase Agreement in excess of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trading on the Nasdaq Capital Market under the symbol “AIXC”. The closing price of our Common Stock on July 23, 2026 was $0.77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may be made by any method permitted that is deemed to be an “at the market offering” as defined in Rule 415(a)(4) promulgated under the Securities Act. There is no arrangement for funds to be received in any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all or a portion of the securities being offered in this prospectus could result in a significant decline in the public trading price of our securities. Despite such a decline in the public trading price, the Selling Stockholder may still experience a positive rate of return due to the discount at which the VWAP Purchase Price is calculated and the Draw fee it retains.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Investing in our securities involves a high degree of risk. You should review carefully the risks and uncertainties described under the heading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beginning on page 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of this prospectus, in the documents which are incorporated by reference herein and under similar headings in any amendment or supplements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Exchange Commission (the “SEC”)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160"/>
        <w:gridCol w:w="290"/>
      </w:tblGrid>
      <w:tr>
        <w:trPr/>
        <w:tc>
          <w:tcPr>
            <w:tcW w:w="716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16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TRADEMARKS</w:t>
              </w:r>
            </w:hyperlink>
          </w:p>
        </w:tc>
        <w:tc>
          <w:tcPr>
            <w:tcW w:w="2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16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MARKET DATA</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716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2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716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PROSPECTUS SUMMARY</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16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THE OFFERING</w:t>
              </w:r>
            </w:hyperlink>
          </w:p>
        </w:tc>
        <w:tc>
          <w:tcPr>
            <w:tcW w:w="2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16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THE COMMITTED EQUITY FINANCING</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16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RISK FACTORS</w:t>
              </w:r>
            </w:hyperlink>
          </w:p>
        </w:tc>
        <w:tc>
          <w:tcPr>
            <w:tcW w:w="2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16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USE OF PROCEEDS</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16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DIVIDEND POLICY</w:t>
              </w:r>
            </w:hyperlink>
          </w:p>
        </w:tc>
        <w:tc>
          <w:tcPr>
            <w:tcW w:w="2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160" w:type="dxa"/>
            <w:tcBorders/>
            <w:shd w:fill="CCEEFF" w:val="clear"/>
            <w:vAlign w:val="center"/>
          </w:tcPr>
          <w:p>
            <w:pPr>
              <w:pStyle w:val="TableContents"/>
              <w:bidi w:val="0"/>
              <w:spacing w:before="0" w:after="283"/>
              <w:jc w:val="left"/>
              <w:rPr/>
            </w:pPr>
            <w:hyperlink w:anchor="ro_001">
              <w:r>
                <w:rPr>
                  <w:rStyle w:val="InternetLink"/>
                  <w:rFonts w:ascii="Times New Roman;Times;Serif" w:hAnsi="Times New Roman;Times;Serif"/>
                  <w:b w:val="false"/>
                  <w:i w:val="false"/>
                  <w:caps/>
                  <w:sz w:val="20"/>
                </w:rPr>
                <w:t>Certain relationships and related party transactions</w:t>
              </w:r>
            </w:hyperlink>
            <w:r>
              <w:rPr>
                <w:rFonts w:ascii="Times New Roman;Times;Serif" w:hAnsi="Times New Roman;Times;Serif"/>
                <w:b w:val="false"/>
                <w:i w:val="false"/>
                <w:caps w:val="false"/>
                <w:smallCaps w:val="false"/>
                <w:sz w:val="20"/>
              </w:rPr>
              <w:t xml:space="preserve"> </w:t>
            </w:r>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p>
        </w:tc>
      </w:tr>
      <w:tr>
        <w:trPr/>
        <w:tc>
          <w:tcPr>
            <w:tcW w:w="716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SELLING STOCKHOLDER</w:t>
              </w:r>
            </w:hyperlink>
          </w:p>
        </w:tc>
        <w:tc>
          <w:tcPr>
            <w:tcW w:w="2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16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DESCRIPTION OF SECURITIES THAT THE SELLING STOCKHOLDER IS OFFERING</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16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PLAN OF DISTRIBUTION</w:t>
              </w:r>
            </w:hyperlink>
          </w:p>
        </w:tc>
        <w:tc>
          <w:tcPr>
            <w:tcW w:w="2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16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EXPERTS</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16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LEGAL MATTERS</w:t>
              </w:r>
            </w:hyperlink>
          </w:p>
        </w:tc>
        <w:tc>
          <w:tcPr>
            <w:tcW w:w="2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16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WHERE YOU CAN FIND MORE INFORMATION</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16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INCORPORATION OF CERTAIN DOCUMENTS BY REFERENCE</w:t>
              </w:r>
            </w:hyperlink>
          </w:p>
        </w:tc>
        <w:tc>
          <w:tcPr>
            <w:tcW w:w="2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2" w:name="a_001"/>
      <w:bookmarkEnd w:id="2"/>
      <w:r>
        <w:rPr>
          <w:rFonts w:ascii="Times New Roman;Times;Serif" w:hAnsi="Times New Roman;Times;Serif"/>
          <w:b/>
          <w:i w:val="false"/>
          <w:smallCaps/>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are hereby filing with the SEC to register the securities described in this prospectus for resale by the Selling Stockholder who may, from time to time, sell or otherwise distribute the securities offered by them as described in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You should rely only on the information contained in this prospectus and the related exhibits, any prospectus supplement or amendment thereto and the documents incorporated by reference, or to which we have referred you, before making your investment decision. We will not receive any proceeds from the sale by such Selling Stockholder of the securities offered by them described in this prospectus. However, we will pay the expenses associated with the sale of shares pursuant to this prospectus. We may receive up to $50,000,000 in aggregate gross proceeds from the Investor under the Common Shares Purchase Agreement in connection with sales of the shares of our Common Stock pursuant to the Common Shares Purchase Agreement after the date of this prospectus. However, the actual proceeds from the Investor may be less than this amount depending on the number of shares of our Common Stock sold and the price at which the shares of our Common Stock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necessary, the specific manner in which the shares of Common Stock may be offered and sold will be described in a supplement to this prospectus, which supplement may also add, update or change any of the information contained in this prospectus. To the extent there is a conflict between the information contained in this prospectus and any prospectus supplement, you should rely on the information in such prospectus supplement, provided that if any statement in one of these documents is inconsistent with a statement in another document having a later date — for example, a document incorporated by reference in this prospectus or any prospectus supplement —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delivery of this prospectus nor any distribution of shares of Common Stock pursuant to this prospectus shall, under any circumstances, create any implication that there has been no change in the information set forth or incorporated by reference into this prospectus or in our affairs since the date of this prospectus. Our business, financial condition, results of operations and prospects may have changed since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has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 takes responsibility for, and can provide no assurance as to the reliability of, any other information that others may give you. Neither we nor the Selling Stockholder will make an offer to sell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Stockholder, as applicable, may deliver a prospectus supplement with this prospectus, to the extent appropriate, to update the information contained in this prospectus. The prospectus supplement may also add, update or change information included in this prospectus. You should read both this prospectus, any documents incorporated by reference to this prospectus, and any applicable prospectus supplement, together with additional information described below under the captions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 of these securities will be made in any jurisdiction where the offer is not permitted. You should rely only on the information contained in this prospectus and in the documents incorporated by reference to this prospectus. Neither we nor the Selling Stockholder has authorized anyone to provide you with any information or to make any representations other than the information contained in this prospectus, in the documents incorporated by reference to this prospectus, in any post-effective amendment, or in any applicable prospectus supplement prepared by or on behalf of us or to which we have referred you. The information contained in this prospectus and in the documents incorporated by reference in this prospectus, is accurate only as of its date, regardless of the time of its delivery or of any sale or delivery of our securities. Neither the delivery of this prospectus or any documents incorporated by reference to the prospectus, nor any sale or delivery of our securities shall, under any circumstances, imply that there has been no change in our affairs since the date of this prospectus. This prospectus will be updated and made available for delivery to the extent required by the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unless otherwise designated or the context suggests otherwise,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the “Company,” the “registrant,” “we,” “our” or “us” in this prospectus mean AIxCrypto Holdings, Inc., a Delaware corporation, and its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year” or “fiscal year” means the year ending December 31st;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or $ references, when used in this prospectus, refer to United States dollars;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information included in this prospectus has been retroactively adjusted to account for a 1-for-50 reverse stock split of our Common Stock that took effect on November 5, 2024 (the “Reverse Stock Split”).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TRADEMARKS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convenience, our trademarks and tradenames referred to in this prospectus, may appear without the ® or ™ symbols, but such references are not intended to indicate in any way that we will not assert, to the fullest extent under applicable law, our rights to these trademarks and tradenames. All other trademarks, service marks and trade names included or incorporated by reference into this prospectus are the property of their respective owners.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4" w:name="a_003"/>
      <w:bookmarkEnd w:id="4"/>
      <w:r>
        <w:rPr>
          <w:rFonts w:ascii="Times New Roman;Times;Serif" w:hAnsi="Times New Roman;Times;Serif"/>
          <w:b/>
          <w:i w:val="false"/>
          <w:smallCaps/>
          <w:sz w:val="20"/>
        </w:rPr>
        <w:t>MARKET DATA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in this prospectus. This prospectus and the documents incorporated by reference to this prospectus include industry and market data that we obtained from periodic industry publications, and third-party studies and surveys. These sources generally state that the information they provide has been obtained from sources believed to be reliable, but that the accuracy and completeness of the information are not guaranteed. The forecasts and projections included in these sources are based on historical market data, and there is no assurance that any of the forecasts or projected amounts will be achieved.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The market and industry data used in this prospectus or in any documents incorporated by reference to this prospectus involve risks and uncertainties that are subject to change based on various factors, including those discussed in the section titled “Risk Factors.” These and other factors could cause results to differ materially from those expressed in, or implied by, the estimates made by independent parties and by us. Furthermore, we cannot assure you that a third party using different methods to assemble, analyze or compute industry and market data would obtain the same results.</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5" w:name="a_004"/>
      <w:bookmarkEnd w:id="5"/>
      <w:r>
        <w:rPr>
          <w:rFonts w:ascii="Times New Roman;Times;Serif" w:hAnsi="Times New Roman;Times;Serif"/>
          <w:b/>
          <w:i w:val="false"/>
          <w:smallCaps/>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contain forward-looking statements within the meaning of the Private Securities Litigation Reform Act of 1995. These statements involve risks and uncertainties and reflect our current expectations about future events, business strategy, operations, and financial performance as of the date of this prospectus. In some cases, you can identify forward-looking statements by words such as “may,” “will,” “should,” “expects,” “plans,” “anticipates,” “believes,” “estimates,” “intends,” “targets,” or similar expressions.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 statements regarding:</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digital-asset treasury strategy, including exposure to cryptocurrency price volatility and related market risks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landscape applicable to digital assets, blockchain technologies, payments, and settlement arrangements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operate and scale RoboShare and related platform-based products and services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development, commercialization, and market acceptance of our current and future products and services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reliance on third-party merchants, service providers, and strategic relationships, including key commercial counterparties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expansion into new markets, jurisdictions, and operating modalities, including autonomous or unmanned systems, and receipt of necessary regulatory approvals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competitive conditions, customer demand, and pricing trends affecting our products and services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design, launch, and enhance products and services that meet customer needs on a timely basis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performance of counterparties and our exposure to contractual and commercial risks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stability, security, and performance of our technology systems, infrastructure, and networks, including cybersecurity risks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retain, and incentivize qualified personnel and manage growth effectively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additional financing or capital when needed and on acceptable terms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litigation exposure and the potential impact of legal or regulatory proceedings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protection and enforcement of our intellectual property and defense against third-party claims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access and draw upon the committed equity financing facility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size, and pricing of any sales under the equity line arrangement</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use of proceeds from sales of securities under this prospectus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dilutive impact of issuances under the equity line on existing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inherently subject to risks and uncertainties, many of which are beyond our control. Actual results could differ materially from those anticipated due to a variety of factors. You should not place undue reliance on these statements, which speak only as of the date of this prospectus (or as of the date of the documents incorporated by reference). We disclaim any obligation to update such statements except as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factors that could cause actual results to differ materially from those expressed or implied by forward-looking statements, see the section titled “Risk Factors” in this prospectus and the sections titled “Business” and “Management’s Discussion and Analysis of Financial Condition and Results of Operations” in our Annual Report on Form 10-K, which are incorporated herein by reference. .</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smallCaps/>
          <w:sz w:val="20"/>
          <w:bdr w:val="single" w:sz="8" w:space="1" w:color="000000"/>
        </w:rPr>
      </w:pPr>
      <w:bookmarkStart w:id="6" w:name="a_005"/>
      <w:bookmarkEnd w:id="6"/>
      <w:r>
        <w:rPr>
          <w:rFonts w:ascii="Times New Roman;Times;Serif" w:hAnsi="Times New Roman;Times;Serif"/>
          <w:b/>
          <w:i w:val="false"/>
          <w:smallCaps/>
          <w:sz w:val="20"/>
          <w:bdr w:val="single" w:sz="8" w:space="1" w:color="000000"/>
        </w:rPr>
        <w:t>PROSPECTUS SUMMARY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This summary highlights selected information contained elsewhere in this prospectus. This summary does not contain all of the information that you should consider before investing in our Common Stock. You should carefully read this entire prospectus, including the sections titled “Risk Factors” and “Special Note Regarding Forward-Looking Statements,” as well as our other filings with the SEC, including the sections titled “Management’s Discussion and Analysis of Financial Condition and Results of Operations” and our consolidated financial statements in our Annual Report on Form 10-K, which are incorporated herein by reference, before making a decision about whether to invest in our Common Stock. All references to “we,” “us,” “our,” and the “Company” refer to AIxCrypto Holdings, Inc., unless we specifically state otherwise or the context indicates otherwise.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Business Overview</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AIxCrypto Holdings, Inc. (Nasdaq: AIXC) (“AIxC,” “we,” “us,” or the “Company”) is a technology infrastructure company focused on the convergence of artificial intelligence and blockchain-based programmable systems. The Company develops software platforms and programmable infrastructure designed to facilitate the tokenization of real-world assets (“RWA”) and the deployment of Embodied Artificial Intelligence (“EAI”) in commercial environments. Our mission is to serve as the regulated, programmable infrastructure layer connecting traditional capital markets with on-chain systems and AI-enabled commercial systems.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that two structural shifts are reshaping global capital markets and physical infrastructure simultaneously: the migration of asset ownership and transaction finalization to distributed ledger technology, and the proliferation of AI-enabled physical systems such as autonomous vehicles, robotics, and connected systems that generate, consume, and require programmable infrastructure. AIxC is purpose-built to sit at the intersection of these trends.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Strategic Realignment</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September 2025, the Company closed a $41 million PIPE financing and subsequently , in November 2025, rebranded from Qualigen Therapeutics to AIxCrypto Holdings, Inc. (Nasdaq: AIXC). Following the transaction, the Company operated across three business lines under its “Three Driving Forces” framework: the BesTrade DeAI Agent platform, the C10 digital asset treasury and portfolio management tools, and the RWA Embodied AI (EAI) ecosystem.</w:t>
      </w:r>
    </w:p>
    <w:p>
      <w:pPr>
        <w:pStyle w:val="TextBody"/>
        <w:shd w:fill="FFFFFF" w:val="clear"/>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February 2026, the Company’s board determined to concentrate on the RWA + Embodied AI (EAI) ecosystem. In connection with that decision, the Company has determined to discontinue development of the BesTrade platform and the C10 portfolio management tools. These products were developed as early-stage proofs of concept and did not meet the scale, regulatory profile, or margin characteristics consistent with the Company’s revised focus on enterprise and institutional infrastructure. The Company does not anticipate material impairment charges in connection with this discontinuation beyond what has been previously disclosed.</w:t>
      </w:r>
    </w:p>
    <w:p>
      <w:pPr>
        <w:pStyle w:val="TextBody"/>
        <w:shd w:fill="FFFFFF" w:val="clear"/>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Separately, the Company continues to evaluate strategic options for its therapeutics programs, previously conducted under the Qualigen brand. These options may include proceeding with the existing QN-302 trial, licensing the asset, or an outright sale.</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effect of these actions is a Company that operates with a focused capital structure, reduced operational complexity, and a business model that institutional investors can evaluate against a defined set of infrastructure and programmable technology benchmarks.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Core Business: The Dual-Pillar Strategy</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AIxC’s operations are organized around two integrated business pillars, which we refer to collectively as our Dual Flywheel strategy. These pillars are designed to be mutually reinforcing: revenue and data generated through RWA tokenization activities support the development and refinement of EAI infrastructure, and EAI deployment generates on-chain transaction volume and ecosystem participation that drives RWA structuring demand.</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Real-World Asset Tokenization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AIxC develops and operates software infrastructure for the digitization of traditional assets onto distributed ledger networks. Our tokenization framework is designed to preserve regulatory compliance at each stage of the asset lifecycle by encoding compliance logic, transfer restrictions, and ownership records directly into smart contracts. This approach is intended to give institutional counterparties the auditability and mathematical certainty that trust-based legacy systems cannot provide at scale.</w:t>
      </w:r>
    </w:p>
    <w:p>
      <w:pPr>
        <w:pStyle w:val="TextBody"/>
        <w:shd w:fill="FFFFFF" w:val="clear"/>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initial commercial application involves a $10 million strategic equity investment in common stock of Faraday Future Intelligent Electric Inc. (Nasdaq: FFAI), which is currently anticipated to close before March 31, 2026. Pursuant to an Entrusted Investment Agreement, the shares are currently held by an independent third party. The Company intends to develop a tokenization framework for these holdings as a reference implementation for investors seeking access to on-chain liquidity for traditional equity positions. The tokenization of this investment has not yet been completed and is subject to the development of applicable technical and regulatory infrastructure. The Company intends to generate revenue from this pillar through structuring fees, platform licensing to enterprises utilizing our tokenization infrastructure, and management fees associated with on-chain asset administration.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Embodied AI Infrastructure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Company’s EAI pillar is focused on building the execution and monetization layer for AI-enabled physical systems. As autonomous mobility, robotics, and connected equipment generate increasing volumes of operational data, we believe there is a significant unaddressed need for programmable infrastructure that can govern the economic relationships between AI agents, human principals, and the capital that funds their deployment.</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AIxC is developing the AIxC Hub, a decentralized application ecosystem designed to facilitate the registration, validation, and deployment of AI models, with transaction finalization and incentive structures encoded on-chain. The Company’s early-stage commercial collaboration with FFAI Robotics Inc., a subsidiary of Faraday Future Intelligent Electric Inc. (Nasdaq: FFAI), is expected to provide an initial deployment environment for this infrastructure, with FFAI Robotics’ EAI-enabled vehicle and robotics programs serving as a primary source of real-world operational data. No definitive commercial agreements governing this collaboration have been executed, and there can be no assurance that any such agreements will be reached.</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Revenue Model</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expects to generate revenue through three primary channels as its platforms achieve commercial scale. Platform licensing fees will be charged to enterprise customers utilizing AIxC’s EAI infrastructure and tokenization stack. Structuring and transaction fees will be earned in connection with the management and administration of tokenized assets. Ecosystem participation revenue will be derived from the growth and utilization of the AIxC Hub, including validator economics, model deployment fees, and protocol-level participation mechanisms.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Company’s EAI and RWA platforms are in the early stages of commercialization and have not generated material revenue to date. Investors should review the risk factors and forward-looking statement disclosures in this filing carefully before making an investment decision.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Competitive Position and Regulatory Framework</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AIxC competes with a range of participants across the tokenization and AI infrastructure competitive environment, including both established technology companies and early-stage blockchain-native platforms. We believe our differentiation lies in our focus on institutional compliance infrastructure, our existing regulatory posture as a Nasdaq-listed public company, and our early commercial relationship with an EAI-focused hardware partner that provides real-world data and deployment context for our AI infrastructure.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Company’s operations are subject to evolving regulatory frameworks governing digital assets, blockchain-based securities, and AI systems in the United States and other jurisdictions. We maintain an active regulatory compliance program and are engaged with applicable regulatory bodies as the legal landscape for these technologies continues to develop.</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Market Opportunity</w:t>
      </w:r>
    </w:p>
    <w:p>
      <w:pPr>
        <w:pStyle w:val="TextBody"/>
        <w:shd w:fill="FFFFFF" w:val="clear"/>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macro backdrop supports our strategy. Blockchain adoption is accelerating across industries from roughly $41 billion in 2025 to approximately $1.9 trillion by 2034, representing more than a 50% compound annual growth rate. Institutional interest continues to grow, with surveys showing over 70% of organizations adopting or planning to adopt blockchain for supply chain, payments, and data systems. The on-chain RWA market has grown to more than $20 billion in 2025, a more than 300% increase over three years, with some forecasts projecting tokenized assets reaching many trillions within a decade. The global AI Agent market is approximately $7 billion today and is projected to exceed $47 billion by 2030, representing a compound annual growth rate of nearly 45%. These two markets are each growing at exceptional rates, and the intersection between them has virtually no competition.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Ritter Pharmaceuticals, Inc. (our predecessor) was formed as a Nevada limited liability company on March 29, 2004 under the name Ritter Natural Sciences, LLC. In September 2008, this company converted into a Delaware corporation under the name Ritter Pharmaceuticals, Inc. On May 22, 2020, upon completing the “reverse recapitalization” transaction with Qualigen, Inc., Ritter Pharmaceuticals, Inc. was renamed Qualigen Therapeutics, Inc. and Qualigen, Inc. became a wholly-owned subsidiary of the Company. On July 20, 2023, we sold Qualigen, Inc. to Chembio Diagnostics, Inc., an American subsidiary of French diagnostics provider Biosynex S.A.</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November 14, 2025, the Company filed a Certificate of Amendment to its Certificate of Incorporation with the Secretary of State of the State of Delaware to change its name to AIxCrypto Holdings, Inc. The Company’s symbol change to “AIXC” took effect on the Nasdaq Capital Market on November 20, 2025.</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principal executive offices are located at 1990 E Grand Ave, El Segundo, CA 90245. Our telephone number is (310) 853-1683. Our corporate website address is </w:t>
      </w:r>
      <w:r>
        <w:rPr>
          <w:rFonts w:ascii="Times New Roman;Times;Serif" w:hAnsi="Times New Roman;Times;Serif"/>
          <w:b w:val="false"/>
          <w:i/>
          <w:caps w:val="false"/>
          <w:smallCaps w:val="false"/>
          <w:sz w:val="20"/>
          <w:bdr w:val="single" w:sz="8" w:space="1" w:color="000000"/>
        </w:rPr>
        <w:t>https://www.aixcrypto.ai/en/</w:t>
      </w:r>
      <w:r>
        <w:rPr>
          <w:rFonts w:ascii="Times New Roman;Times;Serif" w:hAnsi="Times New Roman;Times;Serif"/>
          <w:b w:val="false"/>
          <w:i w:val="false"/>
          <w:caps w:val="false"/>
          <w:smallCaps w:val="false"/>
          <w:sz w:val="20"/>
          <w:bdr w:val="single" w:sz="8" w:space="1" w:color="000000"/>
        </w:rPr>
        <w:t>. Our website and the information contained on, or that can be accessed through, our website will not be deemed to be incorporated by reference in, and are not considered part of, this registration statement. You should not rely on our website or any such information in making your decision whether to purchase our securities.</w:t>
      </w:r>
    </w:p>
    <w:p>
      <w:pPr>
        <w:pStyle w:val="TextBody"/>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Smaller Reporting Company Status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“smaller reporting company” as defined in Item 10(f)(1) of Regulation S-K. As a smaller reporting company, we may rely on certain scaled disclosure accommodations available under SEC rules. These include, among other things, providing only two years of audited financial statements, reduced executive compensation disclosure, and less extensive narrative disclosure regarding our operations and financial results. We may continue to rely on these reduced disclosure requirements for so long as we qualify as a smaller reporting company.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7" w:name="a_006"/>
      <w:bookmarkEnd w:id="7"/>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727"/>
        <w:gridCol w:w="60"/>
        <w:gridCol w:w="8418"/>
      </w:tblGrid>
      <w:tr>
        <w:trPr/>
        <w:tc>
          <w:tcPr>
            <w:tcW w:w="1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that may be offered 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55 million of VWAP Shares that we may elect to sell to the Investor from time to time under the Purchase Agreement.</w:t>
            </w:r>
          </w:p>
        </w:tc>
      </w:tr>
      <w:tr>
        <w:trPr/>
        <w:tc>
          <w:tcPr>
            <w:tcW w:w="1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2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prior to the offering</w:t>
            </w:r>
            <w:r>
              <w:rPr>
                <w:rFonts w:ascii="Times New Roman;Times;Serif" w:hAnsi="Times New Roman;Times;Serif"/>
                <w:b w:val="false"/>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20,234,993 shares of Common Stock as of July 24, 2026 .</w:t>
            </w:r>
          </w:p>
        </w:tc>
      </w:tr>
      <w:tr>
        <w:trPr/>
        <w:tc>
          <w:tcPr>
            <w:tcW w:w="172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be outstanding after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75,234,993 shares of Common Stock, not including up to $50 million of VWAP Shares that we may elect to sell to the Investor from time to time under the Purchase Agreement.</w:t>
            </w:r>
          </w:p>
        </w:tc>
      </w:tr>
      <w:tr>
        <w:trPr/>
        <w:tc>
          <w:tcPr>
            <w:tcW w:w="172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“AIXC.”</w:t>
            </w:r>
          </w:p>
        </w:tc>
      </w:tr>
      <w:tr>
        <w:trPr/>
        <w:tc>
          <w:tcPr>
            <w:tcW w:w="172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shares of our Common Stock included in this prospectus by the Selling Stockholder. We may receive up to $50.0 million in aggregate gross proceeds under the Purchase Agreement from sales of our Common Stock that we elect to make to the Investor pursuant to the Purchase Agreement, if any, from time to time in our sole discretion, during the Investment Period.</w:t>
            </w:r>
          </w:p>
        </w:tc>
      </w:tr>
      <w:tr>
        <w:trPr/>
        <w:tc>
          <w:tcPr>
            <w:tcW w:w="172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2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proceeds that we receive from the sales of the VWAP Shares to the Investor under the Purchase Agreement will be used for general corporate purposes, including working capital and investments. See “Use of Proceeds” beginning on page 10.</w:t>
            </w:r>
          </w:p>
        </w:tc>
      </w:tr>
      <w:tr>
        <w:trPr/>
        <w:tc>
          <w:tcPr>
            <w:tcW w:w="172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Distribution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transfer or otherwise dispose of any or all of the shares of Common Stock offered by this prospectus from time to time in a number of different ways. See the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section of this prospectus.</w:t>
            </w:r>
          </w:p>
        </w:tc>
      </w:tr>
      <w:tr>
        <w:trPr/>
        <w:tc>
          <w:tcPr>
            <w:tcW w:w="172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information set forth in this prospectus and, in particular, the specific factors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beginning on page 7 of this prospectus before deciding whether or not to invest in shares of our Common Stock.</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our Common Stock outstanding prior to this offering is based on 20,234,993 shares of Common Stock outstanding as of July 24, 2026.</w:t>
            </w:r>
          </w:p>
        </w:tc>
      </w:tr>
    </w:tbl>
    <w:p>
      <w:pPr>
        <w:pStyle w:val="TextBody"/>
        <w:bidi w:val="0"/>
        <w:spacing w:before="0" w:after="0"/>
        <w:ind w:left="2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Throughout this prospectus, when we refer to the Selling Stockholder in this prospectus, we are referring to the Selling Stockholder identified in this prospectus and, as applicable, its transferees, donees, pledgees, distributes, and other successors-in-interest that may be identified in a supplement to this prospectus or, if required, a post-effective amendment to the registration statement of which this prospectus is a part.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8" w:name="a_007"/>
      <w:bookmarkEnd w:id="8"/>
      <w:r>
        <w:rPr>
          <w:rFonts w:ascii="Times New Roman;Times;Serif" w:hAnsi="Times New Roman;Times;Serif"/>
          <w:b/>
          <w:i w:val="false"/>
          <w:caps w:val="false"/>
          <w:smallCaps w:val="false"/>
          <w:sz w:val="20"/>
          <w:bdr w:val="single" w:sz="8" w:space="1" w:color="000000"/>
        </w:rPr>
        <w:t>THE COMMITTED EQUITY FINANCING</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June 16, 2026, we entered into the Purchase Agreement with the Investor, pursuant to which the Company may issue and sell to the Investor shares of Common Stock, in one or more VWAP Purchases for an aggregate purchase price of up to $50,000,000 for an Investment Period commencing on the Effective Date of the Initial Registration Statement and expiring on the date the Purchase Agreement is terminated, which is defined as the earliest to occur of (i) the first day of the month following the 24-month anniversary of the effective date of the Initial Registration Statement, (ii) the date on which the Investor shall have purchased the Total Commitment worth of Common Stock pursuant to the Purchase Agreement, (iii) the date on which the Common Stock shall have failed to be listed or quoted on the Nasdaq Capital Market or any other Principal Market, (iv) the thirtieth (30</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Trading Day following the date on which, pursuant to or within the meaning of any Bankruptcy Law, the Company commences a voluntary bankruptcy case or any person commences a bankruptcy proceeding against the Company that is not discharged or dismissed prior to such thirtieth (30</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Trading Day, and (v) pursuant to or within the meaning of any Bankruptcy Law, the date on which a custodian is appointed for the Company or for all or substantially all of its property, or the Company makes a general assignment for the benefit of its creditors (each, an “Automatic Termination Event”).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each VWAP Purchase, the settlement process shall occur as follows: Following delivery of a VWAP Purchase Notice by the Company prior to 9:30 a.m., New York City time, on a VWAP Purchase Date (T), the Investor will effect sales of Common Stock in the open market through its broker-dealer at prevailing market prices on T. On the second Trading Day following the VWAP Purchase Date (T+2, the “VWAP Purchase Share Delivery Date”), the Company will issue to the Investor the VWAP Purchase Share Amount as DWAC Shares. Not later than 5:00 p.m., New York City time, on the Trading Day immediately following the VWAP Purchase Share Delivery Date (T+3), the Investor will pay the Company the Net Settlement Amount, equal to ninety-seven percent (97%) of the VWAP Purchase Amount, with the Investor retaining the remaining three percent (3%) as the Draw Fee.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or prior to Commencement, we are required to reserve 55,000,000 shares of Common Stock solely for issuance under the Purchase Agreement (the “Share Cap”). The number of shares we may direct the Investor to purchase in any single VWAP Purchase is capped at VWAP Purchase Maximum Share Percentage (15%), as defined in Annex I.</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not direct a VWAP Purchase at a VWAP Purchase Price below the Threshold Price, which for each VWAP Purchase is the greater of (i) 90% of the VWAP on the Trading Day immediately preceding the VWAP Purchase Date (but not less than $1.00) and (ii) such higher or lower price as we specify in the applicable VWAP Purchase Notice. During any Trading Day, the Investor’s sales of Common Shares shall not constitute more than ten percent (10%) of the trading volume of the Common Shares on the Principal Market for such Trading Day, unless the Company provides its prior written consent.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shall not issue or sell any Common Stock pursuant to the Purchase Agreement to the extent that after giving effect thereto, the aggregate number of Common Stock that would be issued pursuant to the Purchase Agreement would exceed the Exchange Cap, unless the Company has received Shareholder Approval, and such Shareholder Approval has taken effect. As of the date of this prospectus, we have not received the Shareholder Approval. We intend to seek the Shareholder Approval by way of a written consent of stockholders holding a majority of our outstanding voting power in lieu of a special meeting, to be followed by the filing of the PRE 14C and the DEF 14C with the SEC and, if necessary, the filing of the Charter Amendment with the Secretary of State of the State of Delaware to increase the number of authorized shares of Common Stock. Until the Shareholder Approval has taken effect, we will not issue shares of Common Stock under the Purchase Agreement in excess of the Exchange Cap.</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Purchase Agreement, we may, at our sole and absolute discretion, at any time and from time to time during the Investment Period, subject to the satisfaction of the conditions set forth in the Purchase Agreement, including receipt and effectiveness of Shareholder Approval, deliver to the Investor a VWAP Purchase Notice directing the Investor to purchase Common Stock. The Investor may not be issued shares resulting in it owning more than the Beneficial Ownership Limitation. However, the Beneficial Ownership Limitation does not prevent the Investor from selling some or all of the shares of Common Stock it acquires and then acquiring additional shares, resulting in the Investor being able to sell in excess of 9.99% of the outstanding shares while never holding more than 9.99% of our outstanding Common Stock at any time. The VWAP Purchase Price per share equals ninety-three percent (93%) of the lowest daily VWAP (as reported by Bloomberg through its “AQR” function) over the prior three (3) Trading Days including the VWAP Purchase Date for such VWAP Purchase. In consideration of the Investor’s execution of the Purchase Agreement, we paid the Investor a one-time fee of $100,000 (the “Upfront Fee”) in cash on the date of the Purchase Agreement, which was fully earned on that date and is non-refundable, including upon any termination of the Purchase Agreement.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Sales of our Common Stock to the Investor under the Purchase Agreement, and the timing of any sales, will be determined by us from time to time in our sole discretion and will depend on a variety of factors, including, among other things, market conditions, the trading price of our Common Stock and determinations by us regarding the use of proceeds from any sale of such Common Stock. The net proceeds from any future sales under the Purchase Agreement will depend on the frequency with which the VWAP Purchases are sold to the Investor. To the extent we sell VWAP Shares under the Purchase Agreement, we currently plan to use the net proceeds for working capital and other general corporate purposes. We cannot predict whether the net proceeds invested will yield a favorable return.</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accordance with our obligations under the Purchase Agreement, we agreed to provide the Selling Stockholder with customary registration rights related to the VWAP Shares. We are filing this registration statement of which this prospectus forms a part in order to register for resale up to 55 million VWAP Shares that we may elect, at our sole discretion, to issue and sell to the Investor, from time to time during the Investment Period subject to the conditions and limitations of the Purchase Agreement, which may result in the issuance of up to approximately 55,000,000 VWAP Shares, based on the VWAP for the Common Stock as reported by Bloomberg on July 23, 2026, of $0.8041, with a 7% discount (and 3% Draw Fee retained by the Investor), under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below table below sets forth the number of VWAP Shares we would be required to issue in order to sell shares of Common Stock to the Investor for aggregate gross proceeds of $20 million under the Purchase Agreement: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7468" w:type="dxa"/>
        <w:jc w:val="left"/>
        <w:tblInd w:w="0" w:type="dxa"/>
        <w:tblLayout w:type="fixed"/>
        <w:tblCellMar>
          <w:top w:w="0" w:type="dxa"/>
          <w:left w:w="0" w:type="dxa"/>
          <w:bottom w:w="0" w:type="dxa"/>
          <w:right w:w="0" w:type="dxa"/>
        </w:tblCellMar>
      </w:tblPr>
      <w:tblGrid>
        <w:gridCol w:w="2525"/>
        <w:gridCol w:w="60"/>
        <w:gridCol w:w="131"/>
        <w:gridCol w:w="2213"/>
        <w:gridCol w:w="60"/>
        <w:gridCol w:w="60"/>
        <w:gridCol w:w="115"/>
        <w:gridCol w:w="2229"/>
        <w:gridCol w:w="75"/>
      </w:tblGrid>
      <w:tr>
        <w:trPr/>
        <w:tc>
          <w:tcPr>
            <w:tcW w:w="25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480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Sold</w:t>
            </w:r>
          </w:p>
        </w:tc>
        <w:tc>
          <w:tcPr>
            <w:tcW w:w="75" w:type="dxa"/>
            <w:tcBorders/>
            <w:shd w:fill="FFFFFF" w:val="clear"/>
            <w:vAlign w:val="center"/>
          </w:tcPr>
          <w:p>
            <w:pPr>
              <w:pStyle w:val="TableContents"/>
              <w:bidi w:val="0"/>
              <w:spacing w:before="0" w:after="283"/>
              <w:jc w:val="center"/>
              <w:rPr/>
            </w:pPr>
            <w:r>
              <w:rPr/>
              <w:t> </w:t>
            </w:r>
          </w:p>
        </w:tc>
      </w:tr>
      <w:tr>
        <w:trPr/>
        <w:tc>
          <w:tcPr>
            <w:tcW w:w="25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234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Based on</w:t>
              <w:br/>
              <w:t xml:space="preserve">$0.8041 </w:t>
              <w:br/>
              <w:t>(The lowest daily VWAP on</w:t>
              <w:br/>
              <w:t>July 23, 2026)</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234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Based on</w:t>
              <w:br/>
              <w:t xml:space="preserve">$0.7948 </w:t>
              <w:br/>
              <w:t>(The lowest daily VWAP on</w:t>
              <w:br/>
              <w:t>July 21, 2026)*</w:t>
            </w:r>
          </w:p>
        </w:tc>
        <w:tc>
          <w:tcPr>
            <w:tcW w:w="75" w:type="dxa"/>
            <w:tcBorders/>
            <w:shd w:fill="FFFFFF" w:val="clear"/>
            <w:vAlign w:val="center"/>
          </w:tcPr>
          <w:p>
            <w:pPr>
              <w:pStyle w:val="TableContents"/>
              <w:bidi w:val="0"/>
              <w:spacing w:before="0" w:after="283"/>
              <w:jc w:val="center"/>
              <w:rPr/>
            </w:pPr>
            <w:r>
              <w:rPr/>
              <w:t> </w:t>
            </w:r>
          </w:p>
        </w:tc>
      </w:tr>
      <w:tr>
        <w:trPr/>
        <w:tc>
          <w:tcPr>
            <w:tcW w:w="2525" w:type="dxa"/>
            <w:tcBorders/>
            <w:shd w:fill="CCEEFF" w:val="clear"/>
            <w:vAlign w:val="center"/>
          </w:tcPr>
          <w:p>
            <w:pPr>
              <w:pStyle w:val="TableContents"/>
              <w:bidi w:val="0"/>
              <w:spacing w:before="0" w:after="283"/>
              <w:jc w:val="left"/>
              <w:rPr/>
            </w:pPr>
            <w:r>
              <w:rPr/>
              <w:t>$20 million of shares sold:</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13" w:type="dxa"/>
            <w:tcBorders>
              <w:bottom w:val="single" w:sz="8" w:space="0" w:color="000000"/>
            </w:tcBorders>
            <w:shd w:fill="CCEEFF" w:val="clear"/>
            <w:tcMar>
              <w:bottom w:w="28" w:type="dxa"/>
            </w:tcMar>
            <w:vAlign w:val="center"/>
          </w:tcPr>
          <w:p>
            <w:pPr>
              <w:pStyle w:val="TableContents"/>
              <w:bidi w:val="0"/>
              <w:spacing w:before="0" w:after="283"/>
              <w:jc w:val="right"/>
              <w:rPr/>
            </w:pPr>
            <w:r>
              <w:rPr>
                <w:rFonts w:ascii="Times New Roman;Times;Serif" w:hAnsi="Times New Roman;Times;Serif"/>
                <w:sz w:val="20"/>
              </w:rPr>
              <w:t>26,744,654</w:t>
            </w:r>
            <w:r>
              <w:rPr/>
              <w:t xml:space="preserv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27,057,595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8710" w:type="dxa"/>
        <w:jc w:val="left"/>
        <w:tblInd w:w="0" w:type="dxa"/>
        <w:tblLayout w:type="fixed"/>
        <w:tblCellMar>
          <w:top w:w="0" w:type="dxa"/>
          <w:left w:w="0" w:type="dxa"/>
          <w:bottom w:w="0" w:type="dxa"/>
          <w:right w:w="0" w:type="dxa"/>
        </w:tblCellMar>
      </w:tblPr>
      <w:tblGrid>
        <w:gridCol w:w="75"/>
        <w:gridCol w:w="125"/>
        <w:gridCol w:w="8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Lowest daily VWAP of our Common Stock in the prior 3 Trading Days before the date of this prospectus.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Purchase Agreement may be terminated (i) automatically upon an Automatic Termination Event, (ii) by the Company after Commencement upon ten (10) Trading Days’ prior written notice to the Investor, provided that the Upfront Fee has been paid and is non-refundable irrespective of such termination</w:t>
      </w:r>
      <w:r>
        <w:rPr>
          <w:rFonts w:ascii="Times New Roman;Times;Serif" w:hAnsi="Times New Roman;Times;Serif"/>
          <w:b/>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(iii) at any time by the mutual written consent of the parties</w:t>
      </w:r>
      <w:r>
        <w:rPr>
          <w:rFonts w:ascii="Times New Roman;Times;Serif" w:hAnsi="Times New Roman;Times;Serif"/>
          <w:b/>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or (iv) by the Investor upon ten (10) Trading Days’ prior written notice to the Company if: (a) a Fundamental Transaction (as defined in the Purchase Agreement) occurs; (b) the Company breaches or defaults in any material respect of any of its covenants and agreements in the Purchase Agreement, and such breach or default is not cured within fifteen (15) Trading Days after notice; (c) while a registration statement is required to be maintained effective and the Investor holds any registrable Common Stock, the effectiveness of such registration statement lapses for any reason or becomes unavailable to the Investor for resale, and such lapse or unavailability continues for a period of forty-five (45) consecutive Trading Days or for more than an aggregate of ninety (90) Trading Days in any 365-day period, other than due to acts of the Investor; (d) trading in the Common Stock on the Nasdaq Capital Market has been suspended and such suspension continues for a period of five (5) consecutive Trading Days; or (e) the Company is in material breach or default of any of its covenants and agreements in the Purchase Agreement, and such breach or default is not cured within fifteen (15) Trading Days after notice. Upon termination, certain provisions of the Purchase Agreement shall survive, including the Company’s obligations relating to indemnification and the maintenance of the effectiveness of the Registration Statement of which this prospectus forms a part.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Purchase Agreement contains customary representations, warranties, conditions and indemnification obligations by each party. The representations, warranties and covenants contained in such agreement were made only for purposes of such agreement and as of specific dates, were solely for the benefit of the parties to such agreement and are subject to certain important limitations.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foregoing descriptions of the Purchase Agreement and the transactions contemplated thereby do not purport to be complete and are qualified in their entirety by reference to Exhibit 10.1 to the Current Report on Form 8-K filed with the SEC on June 17, 2026, and incorporated by reference herein.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No Short Selling or Hedging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Purchase Agreement, the Investor has agreed that, from and after the closing date through and including the Trading Day next following the expiration or termination of the Purchase Agreement, neither the Investor nor any of its affiliates will engage in any short sales or hedging transactions with respect to the Common Stock; provided, however, that the Investor may sell a number of Common Stock equal to the number of Shares that the Investor is effecting sales for pursuant to a pending VWAP Purchase Notice in accordance with the Purchase Agreement, so long as the Investor delivers the Shares purchased pursuant to such VWAP Purchase Notice to the purchaser promptly upon the Investor’s receipt of such Shares from the Company. In addition, the Investor has agreed that during any Trading Day, the Investor’s sales of Common Stock shall not constitute more than ten percent (10%) of the trading volume of the Common Stock on the Nasdaq Capital Market for such Trading Day, unless the Company provides its prior written consent. For purposes of this limitation, “trading volume” means the total number of shares of Common Stock traded on the Nasdaq Capital Market during regular trading hours on such Trading Day. The Company has agreed not to effect or enter into any agreement to effect any issuance of Common Stock or securities convertible into Common Stock involving a Variable Rate Transaction (as defined in the Purchase Agreement) during any period in which a VWAP Purchase Notice has been delivered and the delivery of such Shares and the payment therefor have not been completed.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Effect of Sales of our Common Stock under the Purchase Agreement on our Stockholders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Common Stock being registered for resale in this prospectus may be issued and sold by us to the Investor from time to time at our discretion, during the terms described above. The resale by the Selling Stockholder of a significant quantity of shares registered for resale in this offering at any given time, or the perception that these sales may occur, could cause the market price of our Common Stock to decline and to be highly volatile. Sales of our Common Stock, if any, to the Investor under the Purchase Agreement will be determined by us in our sole discretion, subject to the satisfaction of certain conditions in the Purchase Agreement and will depend upon market conditions and other factors. We may ultimately decide to sell to the Investor all, some or none of the shares of Common Stock that may be available for us to sell to the Investor pursuant to the Purchase Agreement. If we elect to sell to the Investor shares of Common Stock pursuant to the Purchase Agreement, after the Investor has acquired such shares, the Investor may resell all, some or none of such shares of Common Stock at any time or from time to time in its discretion and at different prices. As a result, investors who purchase shares of Common Stock from the Investor in this offering at different times will likely pay different prices for those shares of Common Stock, and so may experience different levels of dilution and in some cases substantial dilution and different outcomes in their investment results. See “Risk Factors—Risks Related to this Offering—Investors who buy shares of Common Stock from the Investor at different times will likely pay different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Investors may experience a decline in the value of the Common Stock they purchase from the Investor in this offering as a result of future sales made by us to the Investor at prices lower than the prices such investors paid for their shares in this offering. In addition, if we sell a substantial number of shares of Common Stock to the Investor under the Purchase Agreement, or if investors expect that we will do so, the actual sales of Common Stock or the mere existence of our arrangement with the Investor may make it more difficult for us to sell equity or equity-related securities in the future at a time and at a price that we might otherwise wish to effect such sales.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Because the purchase price per share to be paid by the Investor for the Common Stock that we may sell to the Investor under the Purchase Agreement, if any, will fluctuate based on the market prices of our Common Stock, as of the date of this prospectus, it is not possible for us to predict the number of shares of Common Stock that we will sell to the Investor under the Purchase Agreement, the actual purchase price per share to be paid by Investor for those shares of Common Stock, or the actual gross proceeds to be raised by us from those sales, if any. As of July 24, 2026, there were 20,234,993 shares of Common Stock outstanding.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 all of the shares of our Common Stock offered for resale by the Selling Stockholder under this prospectus were issued and outstanding as of July 24, 2026, consisting of up to 55 million VWAP Shares, which may result in the issuance of up to approximately 55,000,000 VWAP Shares, based on the VWAP for the Common Stock as reported by Bloomberg on July 23, 2026, of $0.8041, with a 7% discount (and 3% Draw Fee retained by the Investor), such shares would represent approximately 73.10% of the total number of shares of our Common Stock outstanding. The actual number of shares of our Common Stock issuable will vary depending on the then current market price of shares of our Common Stock sold to the Selling Stockholder in this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number of shares of Common Stock ultimately offered for sale by the Selling Stockholder for resale under this prospectus is dependent upon the number of shares of Common Stock, if any, we ultimately sell to the Investor under the Purchase Agreement. Further, if and when we elect to sell shares of Common Stock to the Investor pursuant to the Purchase Agreement, after the Investor has acquired such shares, the Investor may resell all, some or none of such shares of Common Stock at any time or from time to time in its discretion and at different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issuance of our shares of Common Stock to the Selling Stockholder pursuant to the Purchase Agreement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smaller percentage of our total outstanding shares of Common Stock after any such issuance.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agreed to register up to 55,000,000 VWAP Shares for resale under the registration statement of which this prospectus forms a part.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table sets forth the number of VWAP Shares to be issued to the Investor registered hereunder at varying purchase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28" w:type="dxa"/>
          <w:right w:w="0" w:type="dxa"/>
        </w:tblCellMar>
      </w:tblPr>
      <w:tblGrid>
        <w:gridCol w:w="306"/>
        <w:gridCol w:w="1177"/>
        <w:gridCol w:w="272"/>
        <w:gridCol w:w="60"/>
        <w:gridCol w:w="186"/>
        <w:gridCol w:w="3088"/>
        <w:gridCol w:w="60"/>
        <w:gridCol w:w="60"/>
        <w:gridCol w:w="271"/>
        <w:gridCol w:w="2197"/>
        <w:gridCol w:w="215"/>
        <w:gridCol w:w="60"/>
        <w:gridCol w:w="270"/>
        <w:gridCol w:w="1904"/>
        <w:gridCol w:w="79"/>
      </w:tblGrid>
      <w:tr>
        <w:trPr/>
        <w:tc>
          <w:tcPr>
            <w:tcW w:w="1483"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Assumed Average Purchase Price Per Share</w:t>
            </w:r>
          </w:p>
        </w:tc>
        <w:tc>
          <w:tcPr>
            <w:tcW w:w="27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27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Registered VWAP Shares to be Issued if Full Purchase Without Giving Effect to the Beneficial Ownership Limitation</w:t>
            </w:r>
            <w:r>
              <w:rPr>
                <w:rFonts w:ascii="Times New Roman;Times;Serif" w:hAnsi="Times New Roman;Times;Serif"/>
                <w:b/>
                <w:position w:val="7"/>
                <w:sz w:val="16"/>
                <w:sz w:val="20"/>
              </w:rPr>
              <w:t>(1)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68"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 Outstanding Shares After Giving Effect to the Issuance to the Investor</w:t>
            </w:r>
            <w:r>
              <w:rPr>
                <w:rFonts w:ascii="Times New Roman;Times;Serif" w:hAnsi="Times New Roman;Times;Serif"/>
                <w:b/>
                <w:position w:val="7"/>
                <w:sz w:val="16"/>
                <w:sz w:val="20"/>
              </w:rPr>
              <w:t>(2)</w:t>
            </w:r>
          </w:p>
        </w:tc>
        <w:tc>
          <w:tcPr>
            <w:tcW w:w="2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17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 Proceeds from the Sale of VWAP Shares Registered Hereunder</w:t>
            </w:r>
          </w:p>
        </w:tc>
        <w:tc>
          <w:tcPr>
            <w:tcW w:w="79" w:type="dxa"/>
            <w:tcBorders/>
            <w:shd w:fill="FFFFFF" w:val="clear"/>
            <w:tcMar>
              <w:bottom w:w="0" w:type="dxa"/>
            </w:tcMar>
            <w:vAlign w:val="center"/>
          </w:tcPr>
          <w:p>
            <w:pPr>
              <w:pStyle w:val="TableContents"/>
              <w:bidi w:val="0"/>
              <w:spacing w:before="0" w:after="283"/>
              <w:jc w:val="center"/>
              <w:rPr/>
            </w:pPr>
            <w:r>
              <w:rPr/>
              <w:t> </w:t>
            </w:r>
          </w:p>
        </w:tc>
      </w:tr>
      <w:tr>
        <w:trPr/>
        <w:tc>
          <w:tcPr>
            <w:tcW w:w="306" w:type="dxa"/>
            <w:tcBorders/>
            <w:shd w:fill="CCEEFF" w:val="clear"/>
            <w:tcMar>
              <w:bottom w:w="0" w:type="dxa"/>
            </w:tcMar>
            <w:vAlign w:val="center"/>
          </w:tcPr>
          <w:p>
            <w:pPr>
              <w:pStyle w:val="TableContents"/>
              <w:bidi w:val="0"/>
              <w:spacing w:before="0" w:after="283"/>
              <w:jc w:val="left"/>
              <w:rPr/>
            </w:pPr>
            <w:r>
              <w:rPr/>
              <w:t>$</w:t>
            </w:r>
          </w:p>
        </w:tc>
        <w:tc>
          <w:tcPr>
            <w:tcW w:w="1177"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0.3739</w:t>
            </w:r>
            <w:r>
              <w:rPr/>
              <w:t xml:space="preserve"> </w:t>
            </w:r>
          </w:p>
        </w:tc>
        <w:tc>
          <w:tcPr>
            <w:tcW w:w="27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3088"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55,000,000</w:t>
            </w:r>
            <w:r>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197"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73.10</w:t>
            </w:r>
            <w:r>
              <w:rPr/>
              <w:t xml:space="preserve">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w:t>
            </w:r>
          </w:p>
        </w:tc>
        <w:tc>
          <w:tcPr>
            <w:tcW w:w="1904"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20,564,858</w:t>
            </w:r>
            <w:r>
              <w:rPr/>
              <w:t xml:space="preserve">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06" w:type="dxa"/>
            <w:tcBorders/>
            <w:shd w:fill="FFFFFF" w:val="clear"/>
            <w:tcMar>
              <w:bottom w:w="0" w:type="dxa"/>
            </w:tcMar>
            <w:vAlign w:val="center"/>
          </w:tcPr>
          <w:p>
            <w:pPr>
              <w:pStyle w:val="TableContents"/>
              <w:bidi w:val="0"/>
              <w:spacing w:before="0" w:after="283"/>
              <w:jc w:val="left"/>
              <w:rPr/>
            </w:pPr>
            <w:r>
              <w:rPr/>
              <w:t>$</w:t>
            </w:r>
          </w:p>
        </w:tc>
        <w:tc>
          <w:tcPr>
            <w:tcW w:w="1177"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0.5609</w:t>
            </w:r>
            <w:r>
              <w:rPr/>
              <w:t xml:space="preserve"> </w:t>
            </w:r>
          </w:p>
        </w:tc>
        <w:tc>
          <w:tcPr>
            <w:tcW w:w="27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3088"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55,000,000</w:t>
            </w: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197"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73.10</w:t>
            </w:r>
            <w:r>
              <w:rPr/>
              <w:t xml:space="preserve">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w:t>
            </w:r>
          </w:p>
        </w:tc>
        <w:tc>
          <w:tcPr>
            <w:tcW w:w="1904"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30,847,286</w:t>
            </w:r>
            <w:r>
              <w:rPr/>
              <w:t xml:space="preserve">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06" w:type="dxa"/>
            <w:tcBorders/>
            <w:shd w:fill="CCEEFF" w:val="clear"/>
            <w:tcMar>
              <w:bottom w:w="0" w:type="dxa"/>
            </w:tcMar>
            <w:vAlign w:val="center"/>
          </w:tcPr>
          <w:p>
            <w:pPr>
              <w:pStyle w:val="TableContents"/>
              <w:bidi w:val="0"/>
              <w:spacing w:before="0" w:after="283"/>
              <w:jc w:val="left"/>
              <w:rPr/>
            </w:pPr>
            <w:r>
              <w:rPr/>
              <w:t>$</w:t>
            </w:r>
          </w:p>
        </w:tc>
        <w:tc>
          <w:tcPr>
            <w:tcW w:w="1177"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0.7478</w:t>
            </w:r>
            <w:r>
              <w:rPr/>
              <w:t xml:space="preserve"> </w:t>
            </w:r>
          </w:p>
        </w:tc>
        <w:tc>
          <w:tcPr>
            <w:tcW w:w="272" w:type="dxa"/>
            <w:tcBorders/>
            <w:shd w:fill="CCEEFF" w:val="clear"/>
            <w:tcMar>
              <w:bottom w:w="0" w:type="dxa"/>
            </w:tcMar>
            <w:vAlign w:val="center"/>
          </w:tcPr>
          <w:p>
            <w:pPr>
              <w:pStyle w:val="TableContents"/>
              <w:bidi w:val="0"/>
              <w:spacing w:before="0" w:after="283"/>
              <w:jc w:val="left"/>
              <w:rPr/>
            </w:pPr>
            <w:r>
              <w:rPr/>
              <w:t> </w:t>
            </w:r>
            <w:r>
              <w:rPr>
                <w:position w:val="8"/>
                <w:sz w:val="19"/>
              </w:rPr>
              <w:t>(3)</w:t>
            </w:r>
            <w:r>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3088"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55,000,000</w:t>
            </w:r>
            <w:r>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197"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73.10</w:t>
            </w:r>
            <w:r>
              <w:rPr/>
              <w:t xml:space="preserve">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w:t>
            </w:r>
          </w:p>
        </w:tc>
        <w:tc>
          <w:tcPr>
            <w:tcW w:w="1904"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41,129,715</w:t>
            </w:r>
            <w:r>
              <w:rPr/>
              <w:t xml:space="preserve">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06" w:type="dxa"/>
            <w:tcBorders/>
            <w:shd w:fill="FFFFFF" w:val="clear"/>
            <w:tcMar>
              <w:bottom w:w="0" w:type="dxa"/>
            </w:tcMar>
            <w:vAlign w:val="center"/>
          </w:tcPr>
          <w:p>
            <w:pPr>
              <w:pStyle w:val="TableContents"/>
              <w:bidi w:val="0"/>
              <w:spacing w:before="0" w:after="283"/>
              <w:jc w:val="left"/>
              <w:rPr/>
            </w:pPr>
            <w:r>
              <w:rPr/>
              <w:t>$</w:t>
            </w:r>
          </w:p>
        </w:tc>
        <w:tc>
          <w:tcPr>
            <w:tcW w:w="1177"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0.9348</w:t>
            </w:r>
            <w:r>
              <w:rPr/>
              <w:t xml:space="preserve"> </w:t>
            </w:r>
          </w:p>
        </w:tc>
        <w:tc>
          <w:tcPr>
            <w:tcW w:w="27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3088"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53,489,308</w:t>
            </w: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197"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72.55</w:t>
            </w:r>
            <w:r>
              <w:rPr/>
              <w:t xml:space="preserve">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w:t>
            </w:r>
          </w:p>
        </w:tc>
        <w:tc>
          <w:tcPr>
            <w:tcW w:w="1904"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50,000,000</w:t>
            </w:r>
            <w:r>
              <w:rPr/>
              <w:t xml:space="preserve">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06" w:type="dxa"/>
            <w:tcBorders/>
            <w:shd w:fill="CCEEFF" w:val="clear"/>
            <w:tcMar>
              <w:bottom w:w="0" w:type="dxa"/>
            </w:tcMar>
            <w:vAlign w:val="center"/>
          </w:tcPr>
          <w:p>
            <w:pPr>
              <w:pStyle w:val="TableContents"/>
              <w:bidi w:val="0"/>
              <w:spacing w:before="0" w:after="283"/>
              <w:jc w:val="left"/>
              <w:rPr/>
            </w:pPr>
            <w:r>
              <w:rPr/>
              <w:t>$</w:t>
            </w:r>
          </w:p>
        </w:tc>
        <w:tc>
          <w:tcPr>
            <w:tcW w:w="1177"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1.1217</w:t>
            </w:r>
            <w:r>
              <w:rPr/>
              <w:t xml:space="preserve"> </w:t>
            </w:r>
          </w:p>
        </w:tc>
        <w:tc>
          <w:tcPr>
            <w:tcW w:w="27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3088"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44,574,423</w:t>
            </w:r>
            <w:r>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197"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68.28</w:t>
            </w:r>
            <w:r>
              <w:rPr/>
              <w:t xml:space="preserve">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w:t>
            </w:r>
          </w:p>
        </w:tc>
        <w:tc>
          <w:tcPr>
            <w:tcW w:w="1904"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50,000,000</w:t>
            </w:r>
            <w:r>
              <w:rPr/>
              <w:t xml:space="preserve">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06" w:type="dxa"/>
            <w:tcBorders/>
            <w:shd w:fill="FFFFFF" w:val="clear"/>
            <w:tcMar>
              <w:bottom w:w="0" w:type="dxa"/>
            </w:tcMar>
            <w:vAlign w:val="center"/>
          </w:tcPr>
          <w:p>
            <w:pPr>
              <w:pStyle w:val="TableContents"/>
              <w:bidi w:val="0"/>
              <w:spacing w:before="0" w:after="283"/>
              <w:jc w:val="left"/>
              <w:rPr/>
            </w:pPr>
            <w:r>
              <w:rPr/>
              <w:t>$</w:t>
            </w:r>
          </w:p>
        </w:tc>
        <w:tc>
          <w:tcPr>
            <w:tcW w:w="1177"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1.4956</w:t>
            </w:r>
            <w:r>
              <w:rPr/>
              <w:t xml:space="preserve"> </w:t>
            </w:r>
          </w:p>
        </w:tc>
        <w:tc>
          <w:tcPr>
            <w:tcW w:w="27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3088"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33,430,818</w:t>
            </w: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197"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62.69</w:t>
            </w:r>
            <w:r>
              <w:rPr/>
              <w:t xml:space="preserve">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w:t>
            </w:r>
          </w:p>
        </w:tc>
        <w:tc>
          <w:tcPr>
            <w:tcW w:w="1904"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50,000,000</w:t>
            </w:r>
            <w:r>
              <w:rPr/>
              <w:t xml:space="preserve"> </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Notes to table: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(1)</w:t>
      </w:r>
      <w:r>
        <w:rPr>
          <w:rFonts w:ascii="Times New Roman;Times;Serif" w:hAnsi="Times New Roman;Times;Serif"/>
          <w:b w:val="false"/>
          <w:i w:val="false"/>
          <w:caps w:val="false"/>
          <w:smallCaps w:val="false"/>
          <w:sz w:val="20"/>
          <w:bdr w:val="single" w:sz="8" w:space="1" w:color="000000"/>
        </w:rPr>
        <w:t xml:space="preserve"> Our Certificate of Incorporation currently authorizes us to issue up to 225,000,000 shares of Common Stock. Therefore, under all scenarios described herein, we have sufficient shares of Common Stock authorized to sell the maximum number of shares permissible under the Purchase Agreement.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(2)</w:t>
      </w:r>
      <w:r>
        <w:rPr>
          <w:rFonts w:ascii="Times New Roman;Times;Serif" w:hAnsi="Times New Roman;Times;Serif"/>
          <w:b w:val="false"/>
          <w:i w:val="false"/>
          <w:caps w:val="false"/>
          <w:smallCaps w:val="false"/>
          <w:sz w:val="20"/>
          <w:bdr w:val="single" w:sz="8" w:space="1" w:color="000000"/>
        </w:rPr>
        <w:t xml:space="preserve"> The denominator is based on 20,234,993 shares of our Common Stock outstanding as of July 24, 2026, plus the number of registered VWAP Shares set forth in the adjacent column that we would have issued or sold to the Investor, assuming the average purchase price in the first column. The numerator is based on the number of VWAP Shares issuable under the Purchase Agreement at the corresponding assumed average purchase price set forth in the first column, which shares are registered hereunder. The number and percentage of shares of Common Stock issuable to the Investor upon full purchase of $50,000,000 worth of shares of Common Stock under the Purchase Agreement does not give effect to the potential future issuance of shares of Common Stock pursuant to our outstanding RSUs and other securities convertible into shares of Common Stock.</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xml:space="preserve"> The VWAP of our Common Stock on July 23, 2026, less the 7% discount.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9" w:name="a_008"/>
      <w:bookmarkEnd w:id="9"/>
      <w:r>
        <w:rPr>
          <w:rFonts w:ascii="Times New Roman;Times;Serif" w:hAnsi="Times New Roman;Times;Serif"/>
          <w:b/>
          <w:i w:val="false"/>
          <w:smallCaps/>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Holding the shares of Common Stock offered under this prospectus involves a high degree of risk. You should carefully consider and evaluate all of the information contained in this prospectus, any prospectus supplement and in the documents that we incorporate by reference herein before you decide to invest in our Common Stock. In particular, you should carefully consider and evaluate the risks and uncertainties described under the heading “Risk Factors” in this prospectus, any prospectus supplement and our filings with the SEC, including our Annual Report on Form 10-K for the fiscal year ended December 31, 2025 as well as of the documents incorporated by reference herein or therein. Investors are further advised that the risks described below may not be the only risks we face. Additional risks that we do not yet know of, or that we currently think are immaterial, may also negatively impact our business operations or financial results. Any of the risks and uncertainties set forth in this prospectus and in the documents incorporated by reference herein, as updated by annual, quarterly and other reports and documents that we file with the SEC and incorporate by reference into this prospectus, could materially and adversely affect our business, results of operations and financial condition, which in turn could materially and adversely affect the value of our Common Stock.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not be able to direct VWAP Purchases at prices below the Threshold Price, and we may therefore be unable to access the Purchase Agreement.</w:t>
      </w:r>
      <w:r>
        <w:rPr>
          <w:rFonts w:ascii="Times New Roman;Times;Serif" w:hAnsi="Times New Roman;Times;Serif"/>
          <w:b w:val="false"/>
          <w:i w:val="false"/>
          <w:caps w:val="false"/>
          <w:smallCaps w:val="false"/>
          <w:sz w:val="20"/>
        </w:rPr>
        <w:t xml:space="preserve"> </w:t>
        <w:b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sale of a substantial number of shares of Common Stock by the Selling Stockholder could cause the price of our Common Stock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covered by this prospectus represent a large number of shares of our Common Stock, and, following the effectiveness of the registration statement of which this prospectus forms a part, such shares of Common Stock may be sold by the Selling Stockholder in the public market without restriction. If the Selling Stockholder sells, or the market perceives that our stockholders intend to sell for various reasons, substantial amounts of the shares of Common Stock in the public market, the price of our Common Stock may decline. Additionally, such conditions may make it more difficult for us to sell equity or equity-related securities in the future at a time and price that we deem reasonable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and other issuances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Common Stock or other securities convertible into or exchangeable for our Common Stock prices that may not be the same as the price per share paid by the Selling Stockholder.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 Our stockholders will incur dilution upon exercise of any outstanding stock options, warrants or other convertible securities or upon the issuance of shares of Common Stock under our stock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capital raised through the sale of equity or equity-backed securities may dilute our stockholders’ ownership percentages and could also result in a decrease in the market value of our equity securities. 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resales and/or issuances of shares of Common Stock, including pursuant to this prospectus, or the perception that such sales may occur, may cause the market price of our shares to drop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sole and absolute discretion, at any time and from time to time during the Investment Period after Commencement (as defined in the Purchase Agreement), subject to the satisfaction of the conditions set forth in the Purchase Agreement, deliver VWAP Purchase Notices to the Investor requesting that the Investor purchase shares of Common Stock at a purchase price equal to 93% of the lowest daily VWAP over the prior three (3) Trading Days including the VWAP Purchase Date. Under the Purchase Agreement, we have the right to sell to the Investor up to $50,000,000 of shares of Common Stock over the Investment Period, subject to certain limitations, including the Exchange Cap (which limits issuances to 19.99% of our outstanding Common Stock unless we obtain Shareholder Approval) and the Beneficial Ownership Limitation (which limits the Investor’s ownership to 9.99% of our outstanding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may resell all, some or none of such shares of Common Stock at any time or from time to time in its discretion and at different prices. Under the Purchase Agreement, we will deliver shares to the Investor on the second (2nd) Trading Day following the applicable VWAP Purchase Date, the Company shall issue to the Investor a number of DWAC Shares equal to the VWAP Purchase Share Amount for such VWAP Purchase. The Investor will then remit to us 97% of the VWAP Purchase Amount. Because a significant number of shares may be issued and sold under this arrangement, such sales of shares of Common Stock could result in substantial dilution to the interests of other holders of shares of Common Stock and may result in substantial decreases to the price of our Common Stock. The actual sales of shares of Common Stock or the mere existence of our arrangement with the Investor may also make it more difficult for us to sell equity or equity-related securities in the future at a time and at a price that we might otherwise wish to effect such sales.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our incentive plan may become available for sale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shares of our Common Stock could drop significantly if the Investor or other holders described above sell their shares or are perceived by the market as intending to sell. These factors could also make it more difficult for us to raise additional funds through future offerings of shares of our Common Stock or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of our Common Stock, if any, we will sell under the Purchase Agreement, or the actual gross proceeds resulting from those sales or the dilution to you from those sales. Further, we may not have access to the full amount available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Purchase Agreement, we may sell up to $50,000,000 worth of shares of Common Stock to the Investor, upon the terms and subject to the conditions and limitations set forth in the Purchase Agreement, which may result in the issuance of up to approximately 55,000,000 VWAP Shares, based on the VWAP for the Common Stock as reported by Bloomberg on July 23, 2026, of $0.8041, with a 7% discount (and 3% Draw Fee retained by the Investor).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that may be issued under the Purchase Agreement may be sold by us to the Investor at our sole discretion from time to time during the Investment Period. Sales of our Common Stock, if any, will depend upon market conditions and other factors to be determined by us. We may sell to the Investor all or only a portion of the Common Stock that may be available for us to sell to the Investor pursuant to the Purchase Agreement. Accordingly, we cannot guarantee that we will be able to sell all of the Total Commitment or how much in proceeds we may obtain under the Purchase Agreement. If we cannot sell securities under the Purchase Agreement, we may be required to utilize more costly and time-consuming means of accessing the capital markets, which could have a material adverse effect on our liquidity and cash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VWAP Purchase Price per share of Common Stock will fluctuate based on the market prices of our Common Stock, it is not possible for us to predict, as of the date of this prospectus and prior to any such sales, the number of shares of Common Stock that we will sell to the Investor under the Purchase Agreement, the VWAP Purchase Price per share that the Investor will pay for VWAP Shares purchased from us under the Purchase Agreement, or the aggregate gross proceeds that we will receive from those purchases by the Investor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up to 55,000,000 VWAP Shares that we may sell to the Investor pursuant to the Purchase Agreement under this prospectus, which may result in the issuance of up to approximately 55,000,000 VWAP Shares, based on the VWAP for the Common Stock as reported by Bloomberg on July 23, 2026, of $0.8041, with a 7% discount (and 3% Draw Fee retained by the Investor). Such shares would represent approximately 73.1% of the total number of shares of our Common Stock outstanding. As of July 24, 2026, there were 20,234,993 shares of our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is not obligated to buy any shares under the Purchase Agreement if such shares, when aggregated with all other Common Stock then beneficially owned by the Investor and its affiliates (as calculated pursuant to Section 13(d) of the Securities Exchange Act, and Rule 13d-3 promulgated thereunder), would result in the Investor beneficially owning Common Stock in excess of the Beneficial Ownership Limitation. However, the Beneficial Ownership Limitation does not prevent the Investor from selling some or all of the shares it acquires and then acquiring additional shares, resulting in the Investor being able to sell in excess of 9.99% of the outstanding shares while never holding more than 9.99% of our outstanding Common Stock at any time. Our inability to access a portion or the full amount available under the Purchase Agreement, in the absence of any other financing sources, could have a material adverse effect on our business or results of operation.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have extended credit to our controlling stockholder, and transactions with our controlling stockholder present conflicts of interest.</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a special committee of our Board of Directors approved an initial advance of $250,000 to FFAI, subject to execution of definitive documentation and satisfaction of specified conditions. The advance would bear interest at 10% per annum, with a default rate of 15% per annum, would be unsecured, and would rank pari passu with FFAI’s other unsecured indebtedness. Proceeds of the advance are restricted to funding a payment in connection with a sponsorship arrangement involving an affiliate of FFAI.</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prospectus, no definitive agreement has been executed. We and FFAI are negotiating an uncommitted, non-revolving delayed draw credit facility providing for advances of up to $2,000,000 in the aggregate, with each advance subject to separate approval by the special committee. We can give no assurance that a definitive agreement will be executed or that its final terms will be consistent with those described above. We expect to file a Current Report on Form 8-K, and to file the definitive agreement as an exhibit, upon execution.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have broad discretion over the use of the proceeds we receive under the Purchase Agreement. Any extension of credit to FFAI or its affiliates would benefit our controlling stockholder and would not be subject to the approval of our other stockholders. There can be no assurance that the terms of any transaction between us and FFAI or its affiliates are as favorable to us as those that could be obtained from an unaffiliated third party, or that FFAI will repay amounts advanced to it when due or at all.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shares registered for resale under this prospectus represent only a portion of the shares that may be issued under the Purchase Agreement, and we will be required to file additional registration statements in order to access the full Total Commitment.</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Investor will pay less than the then-prevailing market price for our Common Stock, which could cause the price of our Common Stock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VWAP Purchase Price per share of our Common Stock to be sold to the Investor under the Purchase Agreement equals ninety-three percent (93%) of the lowest daily VWAP (as reported by Bloomberg through its “AQR” function) over the prior three (3) Trading Days, including the VWAP Purchase Date for such VWAP Purchase. Shares to be sold to the Investor pursuant to the Purchase Agreement will be purchased at a discounted price.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pricing structure, the Investor selling the shares they receive could cause the price of our Common Stock to decrease. Under the Purchase Agreement, the Company issues shares to the Investor at the beginning of each VWAP Purchase, and the Investor then sells those shares in the open market on the same day to fulfill its obligations under the VWAP Purchase. This selling activity, particularly if significant volumes of shares are sold, could put downward pressure on the market price of our Common Stock.</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of Common Stock from the Investor at different times will likely pay different prices.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Common Shares Purchase Agreement, we have discretion, to vary the timing, price and number of shares of Common Stock we sell to the Investor. If and when we sell shares of Common Stock to the Investor pursuant to the Common Shares Purchase Agreement, after the Investor has acquired such shares, the Investor may resell all, some or none of such shares at any time or from time to time in its sole discretion and at different prices. As a result, investors who purchase shares from the Investor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Investor in this offering as a result of future sales made by us to the Investor at prices lower than the prices such investors paid for their shares in this offering. In addition, if we sell a substantial number of shares to the Investor under the Common Shares Purchase Agreement, or if investors expect that we will do so, the actual sales of shares or the mere existence of our arrangements with the Investor may make it more difficult for us to sell equity or equity-related securities in the future at a time and at a price that we might otherwise wish to effect such sales.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our management’s attention.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our management’s attention from other business concerns.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Risks Related to Our Relationship with Our Controlling Stockholder</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Faraday Future Intelligent Electric Inc. controls a majority of our outstanding voting power, and its interests may differ from those of our other stockholders.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particular, the Shareholder Approval required under Nasdaq Listing Rule 5635(d) in order for us to issue shares under the Purchase Agreement in excess of the Exchange Cap is expected to be obtained by the written consent of FFAI in lieu of a special meeting of stockholders. Our other stockholders will not be asked to vote on that matter and will not have the opportunity to affect the outcome. Following delivery of the written consent, we will prepare and file with the SEC an information statement on Schedule 14C and mail the definitive information statement to our stockholders of record, and the Shareholder Approval will take effect no earlier than 20 calendar days after that mailing.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FFAI’s interests may not align with the interests of our other stockholders. We have entered into, and expect in the future to enter into, transactions with FFAI and its affiliates.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consult your own independent tax advisor regarding any tax matters arising with respect to the securities offered in connection with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this offering could result in various tax-related consequences for investors. All prospective purchasers of the resold securities are advised to consult their own independent tax advisors regarding the U.S. federal, state, local and non-U.S. tax consequences relevant to the purchase, ownership and disposition of the resold securities in their particular situations.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ADDITION TO THE ABOVE RISKS, BUSINESSES ARE OFTEN SUBJECT TO RISKS NOT FORESEEN OR FULLY APPRECIATED BY MANAGEMENT. IN REVIEWING THIS FILING, POTENTIAL INVESTORS SHOULD KEEP IN MIND THAT OTHER POSSIBLE RISKS MAY ADVERSELY IMPACT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BUSINESS OPERATIONS AND THE VALUE OF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SECURITIES.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USE OF PROCEEDS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shares of our Common Stock that may be offered and sold from time to time by the Investor. All of the Common Stock offered by the Selling Stockholder pursuant to this prospectus will be sold by the Investor for its own account. We may receive up to $50,000,000 in aggregate gross proceeds from the Investor under the Purchase Agreement in connection with the VWAP Purchases pursuant to the Purchase Agreement after the date of this prospectus. However, the actual proceeds from the Investor may be less than the Total Commitment of $50,000,000 depending on the number of VWAP Purchases (and amounts thereof) we elect to request from the Investor.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proceeds from the sale of shares under the Purchase Agreement, if any, for working capital and general corporate purposes, which includes working capital, strategic and other general corporate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use of proceeds from the sale of shares under the Purchase Agreement described above represents our current intentions based on our present plans and business conditions. As of the date of this prospectus, we cannot predict with certainty all of the particular uses for the proceeds or the actual amounts that we will spend on the uses set forth above. Accordingly, we will retain broad discretion over the use of these proceeds. Pending our use of the net proceeds as described above, we intend to invest the net proceeds pursuant to the Purchase Agreement in interest-bearing, investment-grade instruments.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sell the shares of Common Stock in the open market through its broker-dealer at prevailing market prices on the applicable VWAP Purchase Date. The Selling Stockholder effects these sales to fulfill its obligations under VWAP Purchases pursuant to the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the VWAP Purchase Price that the Company receives from the Investor for each VWAP Purchase equals ninety-three percent (93%) of the VWAP (as reported by Bloomberg through its “AQR” function) over the prior three (3) Trading Days including the VWAP Purchase Date for such VWAP Purchase. However, the actual market prices at which the Selling Stockholder sells shares to third-party purchasers in the open market will be the prevailing market prices at the time of such sales on the VWAP Purchase Date, which may be higher or lower than the VWAP Purchase Price paid by the Investor to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at which the Selling Stockholder sells shares of our Common Stock do not necessarily bear any relationship to our book value, assets, past operating results, financial condition, or any other established criteria of value. The VWAP Purchase Price is determined by a formula based on recent market trading activity as set forth in the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our Common Stock will trade at market prices in excess of the VWAP Purchase Price, as prices for our Common Stock in any public market will be determined in the marketplace and may be influenced by many factors, including the depth and liquidity of the market for our Common Stock, investor perception of the Company and the industry in which we operate, general economic and market conditions, and the sale of substantial amounts of our Common Stock by the Selling Stockholder in the public market.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any cash dividends since inception and we do not anticipate paying any dividends in the foreseeable future. Instead, we anticipate that all of our earnings will be used to provide working capital, to support our operations, and to finance the growth and development of our business. The payment of dividends is within the discretion of the board of directors of the Company (the “Board”) and will depend on our earnings, capital requirements, financial condition, prospects, applicable Delaware law, which provides that dividends are only payable out of surplus or current net profits, and other factors our Board might deem relevant. There are no restrictions that currently limit our ability to pay dividends on our Common Stock other than those generally imposed by applicable state law.</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2" w:name="ro_001"/>
      <w:bookmarkEnd w:id="12"/>
      <w:r>
        <w:rPr>
          <w:rFonts w:ascii="Times New Roman;Times;Serif" w:hAnsi="Times New Roman;Times;Serif"/>
          <w:b/>
          <w:i w:val="false"/>
          <w:caps w:val="false"/>
          <w:smallCaps w:val="false"/>
          <w:sz w:val="22"/>
        </w:rPr>
        <w:t>Certain relationships and related party transactions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Loan to our controlling stockholder.</w:t>
      </w:r>
      <w:r>
        <w:rPr>
          <w:rFonts w:ascii="Times New Roman;Times;Serif" w:hAnsi="Times New Roman;Times;Serif"/>
          <w:b w:val="false"/>
          <w:i w:val="false"/>
          <w:caps w:val="false"/>
          <w:smallCaps w:val="false"/>
          <w:sz w:val="20"/>
        </w:rPr>
        <w:t xml:space="preserve"> On July 19, 2026, a special committee of our Board of Directors approved an initial advance of $250,000 to FFAI, subject to execution of definitive documentation and satisfaction of specified conditions. The advance would bear interest at 10% per annum, with a default rate of 15% per annum, would be unsecured, and would rank pari passu with FFAI’s other unsecured indebtedness. Proceeds of the advance are restricted to funding a payment in connection with a sponsorship arrangement involving an affiliate of FFAI.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prospectus, no definitive agreement has been executed. We and FFAI are negotiating an uncommitted, non-revolving delayed draw credit facility providing for advances of up to $2,000,000 in the aggregate, with each advance subject to separate approval by the special committee. We can give no assurance that a definitive agreement will be executed or that its final terms will be consistent with those described above. We expect to file a Current Report on Form 8-K, and to file the definitive agreement as an exhibit, upon execution.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discussion of the risks associated with our relationship with FFAI, see “Risk factors.”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SELLING STOCKHOLDER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 are those shares of Common Stock issuable to the Selling Stockholder under the Purchase Agreement, which include up to 55 million VWAP Shares upon purchase of shares of Common Stock pursuant to the Purchase Agreement. We are registering the shares of Common Stock in order to permit the Selling Stockholder to offer the shares for resale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“Selling Stockholder” includes the stockholder listed below and its transferees, pledges, donees or other successors-in-interest who may acquire shares from the Selling Stockholder as a gift, pledge, partnership distribution or other non-sale related transfer after the date of this prospectus. Information concerning the Selling Stockholder may change after the date of this prospectus and changed information will be presented in a supplement to this prospectus if and when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 and other information regarding the beneficial ownership of the shares of Common Stock by the Selling Stockholder. The second column lists the number of shares of Common Stock beneficially owned by the Selling Stockholder.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Stockholder, assuming we have sold to the Selling Stockholder all shares registered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fourth column assumes the sale of all of the shares offered by the Selling Stockholder pursuant to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we may not issue shares to the Selling Stockholder under the Purchase Agreement to the extent that such issuance would cause the Selling Stockholder, together with its affiliates and attribution parties, to beneficially own a number of shares of Common Stock which would exceed the Beneficial Ownership Limitation, excluding for purposes of such determination shares of Common Stock issuable under the Purchase Agreement which have not been issued. The number of shares in the second and fourth columns do not reflect this limitation. However, the Beneficial Ownership Limitation does not prevent the Investor from selling some or all of the shares it acquires and then acquiring additional shares, resulting in the Investor being able to sell in excess of 9.99% of the outstanding shares while never holding more than 9.99% of our outstanding Common Stock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some or none of its shares in this offering. See “Plan of Distribution.”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84"/>
        <w:gridCol w:w="60"/>
        <w:gridCol w:w="122"/>
        <w:gridCol w:w="1287"/>
        <w:gridCol w:w="111"/>
        <w:gridCol w:w="111"/>
        <w:gridCol w:w="276"/>
        <w:gridCol w:w="759"/>
        <w:gridCol w:w="185"/>
        <w:gridCol w:w="60"/>
        <w:gridCol w:w="146"/>
        <w:gridCol w:w="2393"/>
        <w:gridCol w:w="60"/>
        <w:gridCol w:w="60"/>
        <w:gridCol w:w="108"/>
        <w:gridCol w:w="1312"/>
        <w:gridCol w:w="108"/>
        <w:gridCol w:w="108"/>
        <w:gridCol w:w="267"/>
        <w:gridCol w:w="981"/>
        <w:gridCol w:w="207"/>
      </w:tblGrid>
      <w:tr>
        <w:trPr/>
        <w:tc>
          <w:tcPr>
            <w:tcW w:w="148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Stockholder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6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Beneficially Owned Prior to Offering</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 Shares of Common Stock to be Offered Pursuant to this Prospectus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84"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Shares of Common Stock Beneficially Owned After Offering </w:t>
            </w:r>
            <w:r>
              <w:rPr>
                <w:rFonts w:ascii="Times New Roman;Times;Serif" w:hAnsi="Times New Roman;Times;Serif"/>
                <w:b/>
                <w:i w:val="false"/>
                <w:caps w:val="false"/>
                <w:smallCaps w:val="false"/>
                <w:position w:val="7"/>
                <w:sz w:val="16"/>
                <w:sz w:val="20"/>
              </w:rPr>
              <w:t>(2)</w:t>
            </w:r>
          </w:p>
        </w:tc>
        <w:tc>
          <w:tcPr>
            <w:tcW w:w="20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r>
              <w:rPr>
                <w:rFonts w:ascii="Times New Roman;Times;Serif" w:hAnsi="Times New Roman;Times;Serif"/>
                <w:b/>
                <w:i w:val="false"/>
                <w:caps w:val="false"/>
                <w:smallCaps w:val="false"/>
                <w:position w:val="7"/>
                <w:sz w:val="16"/>
                <w:sz w:val="20"/>
              </w:rPr>
              <w:t>(1)</w:t>
            </w:r>
          </w:p>
        </w:tc>
        <w:tc>
          <w:tcPr>
            <w:tcW w:w="1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King Arthur Holding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890,472</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4.22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55,000,000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890,472 </w:t>
            </w:r>
          </w:p>
        </w:tc>
        <w:tc>
          <w:tcPr>
            <w:tcW w:w="1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1.18 </w:t>
            </w:r>
          </w:p>
        </w:tc>
        <w:tc>
          <w:tcPr>
            <w:tcW w:w="20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8"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Mr. Shawn Wang (</w:t>
            </w:r>
            <w:r>
              <w:rPr>
                <w:rFonts w:eastAsia="Times New Roman;Times;Serif"/>
                <w:b w:val="false"/>
                <w:i w:val="false"/>
                <w:caps w:val="false"/>
                <w:smallCaps w:val="false"/>
                <w:sz w:val="20"/>
              </w:rPr>
              <w:t>王松</w:t>
            </w:r>
            <w:r>
              <w:rPr>
                <w:rFonts w:ascii="Times New Roman;Times;Serif" w:hAnsi="Times New Roman;Times;Serif"/>
                <w:b w:val="false"/>
                <w:i w:val="false"/>
                <w:caps w:val="false"/>
                <w:smallCaps w:val="false"/>
                <w:sz w:val="20"/>
              </w:rPr>
              <w:t>), a director of Gold King Arthur Holding Limited, has voting and investment control of the shares of Common Stock held by Gold King Arthur Holding Limited and is the beneficial owner of such shares of Common Stock. The business address of Gold King Arthur Holding Limited is H020 3/F Phase 2 Kwai Shing Ind Building 42-46 Tai Lin Pai Rd, Kwai Chung, Hong Kong.</w:t>
            </w:r>
          </w:p>
        </w:tc>
      </w:tr>
      <w:tr>
        <w:trPr/>
        <w:tc>
          <w:tcPr>
            <w:tcW w:w="197" w:type="dxa"/>
            <w:tcBorders/>
            <w:vAlign w:val="center"/>
          </w:tcPr>
          <w:p>
            <w:pPr>
              <w:pStyle w:val="TableContents"/>
              <w:bidi w:val="0"/>
              <w:spacing w:before="0" w:after="283"/>
              <w:jc w:val="both"/>
              <w:rPr>
                <w:caps w:val="false"/>
                <w:smallCaps w:val="false"/>
              </w:rPr>
            </w:pPr>
            <w:r>
              <w:rPr>
                <w:caps w:val="false"/>
                <w:smallCaps w:val="false"/>
              </w:rPr>
              <w:t> </w:t>
            </w:r>
          </w:p>
        </w:tc>
        <w:tc>
          <w:tcPr>
            <w:tcW w:w="100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of shares of Common Stock that will be held by the Selling Stockholder after completion of this offering based on the assumptions that (a) all VWAP Shares registered for sale by the registration statement of which this prospectus is part will be sold, and (b) no other shares of Common Stock are acquired or sold by the Selling Stockholder prior to completion of this offering. However, the Selling Stockholder is not obligated to sell all or any portion of the shares of our Common Stock offered pursuant to this prospectus.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DESCRIPTION OF SECURITIES THAT THE SELLING STOCKHOLDER IS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pPr>
      <w:r>
        <w:rPr>
          <w:rFonts w:ascii="Times New Roman;Times;Serif" w:hAnsi="Times New Roman;Times;Serif"/>
          <w:b w:val="false"/>
          <w:i w:val="false"/>
          <w:caps w:val="false"/>
          <w:smallCaps w:val="false"/>
          <w:sz w:val="20"/>
        </w:rPr>
        <w:t xml:space="preserve">The Selling Stockholder is offering for resale up to an aggregate of 55,000,000 shares of Common Stock. The terms of our shares of Common Stock are contained in our Certificate of Incorporation and our bylaws, each as amended to date and each as filed or incorporated by reference as exhibits to our </w:t>
      </w:r>
      <w:hyperlink r:id="rId3">
        <w:r>
          <w:rPr>
            <w:rStyle w:val="InternetLink"/>
            <w:rFonts w:ascii="Times New Roman;Times;Serif" w:hAnsi="Times New Roman;Times;Serif"/>
            <w:b w:val="false"/>
            <w:i w:val="false"/>
            <w:caps w:val="false"/>
            <w:smallCaps w:val="false"/>
            <w:sz w:val="20"/>
          </w:rPr>
          <w:t>Annual Report on Form 10-K for the fiscal year ended December 31, 2025</w:t>
        </w:r>
      </w:hyperlink>
      <w:r>
        <w:rPr>
          <w:rFonts w:ascii="Times New Roman;Times;Serif" w:hAnsi="Times New Roman;Times;Serif"/>
          <w:b w:val="false"/>
          <w:i w:val="false"/>
          <w:caps w:val="false"/>
          <w:smallCaps w:val="false"/>
          <w:sz w:val="20"/>
        </w:rPr>
        <w:t>. For a description of our securities, see the Description of Securities included as Exhibit 4.1 to our Annual Report on Form 10-K for the fiscal year ended December 31, 2025, which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authorizes the issuance of up to 225,000,000 shares of Common Stock, $0.001 par value per share, and up to 15,000,000 shares of preferred stock, $0.001 par value per share (“Preferred Stock”), of which 10,000 shares are designated for Series A-2 Preferred Stock, 10,000 shares for Series A-3 Preferred Stock and up to 500,000 shares for Series B Convertible Preferred Stock. The Board may establish the rights and preferences of the Preferred Stock from time to time.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of the securities and any of its pledgees, assignees and successors-in-interest may, from time to time, sell any or all of its securities covered hereby on the principal trading market or any other stock exchange, market or trading facility on which the securities are traded or in private transactions. These sales may be at fixed, negotiated, or prevailing market prices. The Selling Stockholder may use any one or more of the following methods when selling securities: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 to sell a specified number of such securities at a stipulated price per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market transactions, including transactions on a national securities exchange or quotations service or over-the-counter market;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 and the Purchase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securities under Rule 144 or any other exemption from registration under the Securities Act, if available, rather than under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Financial Industry Regulatory Authority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Rule 2121; and in the case of a principal transaction a markup or markdown in compliance with FINRA Rule 2121.</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King Arthur Holding Limited, a Hong Kong company, is an “underwriter” within the meaning of Section 2(a)(11)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Selling Stockholder has agreed that, during the Investment Period, neither the Selling Stockholder nor any of its affiliates will engage in any short sales or hedging transactions with respect to the Common Stock; provided, however, that the Selling Stockholder may sell a number of Common Stock equal to the number of Shares that the Selling Stockholder is effecting sales for pursuant to a pending VWAP Purchase Notice in accordance with the Purchase Agreement, so long as the Selling Stockholder delivers the Shares purchased pursuant to such VWAP Purchase Notice to the purchaser promptly upon the Selling Stockholder’s receipt of such Shares from the Company. In addition, the Selling Stockholder has agreed that during any Trading Day, the Selling Stockholder’s sales of Common Stock shall not constitute more than ten percent (10%) of the trading volume of the Common Stock on the Nasdaq Capital Market for such Trading Day, unless the Company provides its prior written consent. The Company has agreed not to effect or enter into any agreement to effect any issuance of Common Stock or securities convertible into Common Stock involving a Variable Rate Transaction (as defined in the Purchase Agreement) during any period in which a VWAP Purchase Notice has been delivered and the delivery of such Shares and the payment therefor have not been completed.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us that it has no present intention of distributing any of the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(but this representation and warranty will not limit Investor’s right to sell the securities in compliance with applicable federal and state securities laws). Investor is acquiring the securities hereunder in the ordinary course of its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of Common Stock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Stockholder or any other stockholder, broker, dealer, underwriter or agent relating to the sale or distribution of the shares of our Common Stock offered by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 Common Stock offered by this prospectus by the Selling Stockholder including the names of any brokers, dealers, underwriters or agents participating in the distribution of such shares of Common Stock by the Selling Stockholder any compensation paid by the Selling Stockholder to any such brokers, dealers, underwriters or agents, and any other required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 that they are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are trading on the Nasdaq Capital Market under the symbol “AIXC.”</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6" w:name="a_014"/>
      <w:bookmarkEnd w:id="16"/>
      <w:r>
        <w:rPr>
          <w:rFonts w:ascii="Times New Roman;Times;Serif" w:hAnsi="Times New Roman;Times;Serif"/>
          <w:b/>
          <w:i w:val="false"/>
          <w:smallCaps/>
          <w:sz w:val="20"/>
        </w:rPr>
        <w:t>EXPERTS</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HTL International, LLC, an independent certified public accounting firm, audited our consolidated financial statements for the year ended December 31, 2025. We have included our consolidated financial statements included in this prospectus and elsewhere in the registration statement in reliance on the report of HTL International, LLC given on the authority of said firm as experts in auditing and accounting.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WithumSmith+Brown, PC, an independent certified public accounting firm, audited our consolidated financial statements for the year ended December 31, 2024. We have included our consolidated financial statements included in this prospectus and elsewhere in the registration statement in reliance on the report of WithumSmith+Brown, PC given on the authority of said firm as experts in accounting and auditing.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7" w:name="a_015"/>
      <w:bookmarkEnd w:id="17"/>
      <w:r>
        <w:rPr>
          <w:rFonts w:ascii="Times New Roman;Times;Serif" w:hAnsi="Times New Roman;Times;Serif"/>
          <w:b/>
          <w:i w:val="false"/>
          <w:smallCaps/>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with respect to the validity of the securities being offered by this prospectus will be passed upon by Loeb &amp; Loeb LLP, New York, New York.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8" w:name="a_016"/>
      <w:bookmarkEnd w:id="18"/>
      <w:r>
        <w:rPr>
          <w:rFonts w:ascii="Times New Roman;Times;Serif" w:hAnsi="Times New Roman;Times;Serif"/>
          <w:b/>
          <w:i w:val="false"/>
          <w:smallCaps/>
          <w:sz w:val="20"/>
        </w:rPr>
        <w:t>WHERE YOU CAN FIND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with respect to the securities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reporting requirements of the Exchange Act and, in accordance with this law, are required to file periodic reports, proxy statements and other information with the SEC. These periodic reports, proxy statements and other information are available at the website of the SEC referred to above. We also maintain a website at https://www.aixcrypto.ai/en/.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9" w:name="a_017"/>
      <w:bookmarkEnd w:id="19"/>
      <w:r>
        <w:rPr>
          <w:rFonts w:ascii="Times New Roman;Times;Serif" w:hAnsi="Times New Roman;Times;Serif"/>
          <w:b/>
          <w:i w:val="false"/>
          <w:smallCaps/>
          <w:sz w:val="20"/>
        </w:rPr>
        <w:t>INCORPORATION OF CERTAIN DOCUMENTS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filed documents listed below (excluding those portions of any Current Report on Form 8-K that are not deemed “filed” pursuant to the General Instructions of Form 8-K), except as superseded, supplemented or modified by this prospectus or any subsequently filed document incorporated by reference herein as described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
        <w:gridCol w:w="214"/>
        <w:gridCol w:w="9872"/>
      </w:tblGrid>
      <w:tr>
        <w:trPr/>
        <w:tc>
          <w:tcPr>
            <w:tcW w:w="119" w:type="dxa"/>
            <w:tcBorders/>
            <w:vAlign w:val="center"/>
          </w:tcPr>
          <w:p>
            <w:pPr>
              <w:pStyle w:val="TableContents"/>
              <w:bidi w:val="0"/>
              <w:spacing w:before="0" w:after="283"/>
              <w:jc w:val="both"/>
              <w:rPr>
                <w:caps w:val="false"/>
                <w:smallCaps w:val="false"/>
              </w:rPr>
            </w:pPr>
            <w:r>
              <w:rPr>
                <w:caps w:val="false"/>
                <w:smallCaps w:val="false"/>
              </w:rPr>
              <w:t> </w:t>
            </w:r>
          </w:p>
        </w:tc>
        <w:tc>
          <w:tcPr>
            <w:tcW w:w="214" w:type="dxa"/>
            <w:tcBorders/>
            <w:vAlign w:val="center"/>
          </w:tcPr>
          <w:p>
            <w:pPr>
              <w:pStyle w:val="TableContents"/>
              <w:bidi w:val="0"/>
              <w:spacing w:before="0" w:after="283"/>
              <w:jc w:val="both"/>
              <w:rPr>
                <w:caps w:val="false"/>
                <w:smallCaps w:val="false"/>
              </w:rPr>
            </w:pPr>
            <w:r>
              <w:rPr>
                <w:caps w:val="false"/>
                <w:smallCaps w:val="false"/>
              </w:rPr>
              <w:t>●</w:t>
            </w:r>
          </w:p>
        </w:tc>
        <w:tc>
          <w:tcPr>
            <w:tcW w:w="9872"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Form 10-K for the year ended December 31, 2025, filed with the SEC on </w:t>
            </w:r>
            <w:hyperlink r:id="rId4">
              <w:r>
                <w:rPr>
                  <w:rStyle w:val="InternetLink"/>
                  <w:rFonts w:ascii="Times New Roman;Times;Serif" w:hAnsi="Times New Roman;Times;Serif"/>
                  <w:b w:val="false"/>
                  <w:i w:val="false"/>
                  <w:caps w:val="false"/>
                  <w:smallCaps w:val="false"/>
                  <w:sz w:val="20"/>
                </w:rPr>
                <w:t>March 30, 2026</w:t>
              </w:r>
            </w:hyperlink>
            <w:r>
              <w:rPr>
                <w:rFonts w:ascii="Times New Roman;Times;Serif" w:hAnsi="Times New Roman;Times;Serif"/>
                <w:b w:val="false"/>
                <w:i w:val="false"/>
                <w:caps w:val="false"/>
                <w:smallCaps w:val="false"/>
                <w:sz w:val="20"/>
              </w:rPr>
              <w:t xml:space="preserve"> and subsequently amended on </w:t>
            </w:r>
            <w:hyperlink r:id="rId5">
              <w:r>
                <w:rPr>
                  <w:rStyle w:val="InternetLink"/>
                  <w:rFonts w:ascii="Times New Roman;Times;Serif" w:hAnsi="Times New Roman;Times;Serif"/>
                  <w:b w:val="false"/>
                  <w:i w:val="false"/>
                  <w:caps w:val="false"/>
                  <w:smallCaps w:val="false"/>
                  <w:sz w:val="20"/>
                </w:rPr>
                <w:t>July 16, 2026</w:t>
              </w:r>
            </w:hyperlink>
            <w:r>
              <w:rPr>
                <w:rFonts w:ascii="Times New Roman;Times;Serif" w:hAnsi="Times New Roman;Times;Serif"/>
                <w:b w:val="false"/>
                <w:i w:val="false"/>
                <w:caps w:val="false"/>
                <w:smallCaps w:val="false"/>
                <w:sz w:val="20"/>
              </w:rPr>
              <w:t xml:space="preserve">; </w:t>
            </w:r>
          </w:p>
        </w:tc>
      </w:tr>
      <w:tr>
        <w:trPr/>
        <w:tc>
          <w:tcPr>
            <w:tcW w:w="119" w:type="dxa"/>
            <w:tcBorders/>
            <w:vAlign w:val="center"/>
          </w:tcPr>
          <w:p>
            <w:pPr>
              <w:pStyle w:val="TableContents"/>
              <w:bidi w:val="0"/>
              <w:spacing w:before="0" w:after="283"/>
              <w:jc w:val="both"/>
              <w:rPr>
                <w:caps w:val="false"/>
                <w:smallCaps w:val="false"/>
              </w:rPr>
            </w:pPr>
            <w:r>
              <w:rPr>
                <w:caps w:val="false"/>
                <w:smallCaps w:val="false"/>
              </w:rPr>
              <w:t> </w:t>
            </w:r>
          </w:p>
        </w:tc>
        <w:tc>
          <w:tcPr>
            <w:tcW w:w="214" w:type="dxa"/>
            <w:tcBorders/>
            <w:vAlign w:val="center"/>
          </w:tcPr>
          <w:p>
            <w:pPr>
              <w:pStyle w:val="TableContents"/>
              <w:bidi w:val="0"/>
              <w:spacing w:before="0" w:after="283"/>
              <w:jc w:val="both"/>
              <w:rPr>
                <w:caps w:val="false"/>
                <w:smallCaps w:val="false"/>
              </w:rPr>
            </w:pPr>
            <w:r>
              <w:rPr>
                <w:caps w:val="false"/>
                <w:smallCaps w:val="false"/>
              </w:rPr>
              <w:t> </w:t>
            </w:r>
          </w:p>
        </w:tc>
        <w:tc>
          <w:tcPr>
            <w:tcW w:w="98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21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872"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6">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quarterly period ended March 31, 2026, filed with the SEC on May 11, 2026; </w:t>
            </w:r>
          </w:p>
        </w:tc>
      </w:tr>
      <w:tr>
        <w:trPr/>
        <w:tc>
          <w:tcPr>
            <w:tcW w:w="119" w:type="dxa"/>
            <w:tcBorders/>
            <w:vAlign w:val="center"/>
          </w:tcPr>
          <w:p>
            <w:pPr>
              <w:pStyle w:val="TableContents"/>
              <w:bidi w:val="0"/>
              <w:spacing w:before="0" w:after="283"/>
              <w:jc w:val="both"/>
              <w:rPr>
                <w:caps w:val="false"/>
                <w:smallCaps w:val="false"/>
              </w:rPr>
            </w:pPr>
            <w:r>
              <w:rPr>
                <w:caps w:val="false"/>
                <w:smallCaps w:val="false"/>
              </w:rPr>
              <w:t> </w:t>
            </w:r>
          </w:p>
        </w:tc>
        <w:tc>
          <w:tcPr>
            <w:tcW w:w="214" w:type="dxa"/>
            <w:tcBorders/>
            <w:vAlign w:val="center"/>
          </w:tcPr>
          <w:p>
            <w:pPr>
              <w:pStyle w:val="TableContents"/>
              <w:bidi w:val="0"/>
              <w:spacing w:before="0" w:after="283"/>
              <w:jc w:val="both"/>
              <w:rPr>
                <w:caps w:val="false"/>
                <w:smallCaps w:val="false"/>
              </w:rPr>
            </w:pPr>
            <w:r>
              <w:rPr>
                <w:caps w:val="false"/>
                <w:smallCaps w:val="false"/>
              </w:rPr>
              <w:t> </w:t>
            </w:r>
          </w:p>
        </w:tc>
        <w:tc>
          <w:tcPr>
            <w:tcW w:w="98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9" w:type="dxa"/>
            <w:tcBorders/>
            <w:vAlign w:val="center"/>
          </w:tcPr>
          <w:p>
            <w:pPr>
              <w:pStyle w:val="TableContents"/>
              <w:bidi w:val="0"/>
              <w:spacing w:before="0" w:after="283"/>
              <w:jc w:val="both"/>
              <w:rPr>
                <w:caps w:val="false"/>
                <w:smallCaps w:val="false"/>
              </w:rPr>
            </w:pPr>
            <w:r>
              <w:rPr>
                <w:caps w:val="false"/>
                <w:smallCaps w:val="false"/>
              </w:rPr>
              <w:t> </w:t>
            </w:r>
          </w:p>
        </w:tc>
        <w:tc>
          <w:tcPr>
            <w:tcW w:w="214" w:type="dxa"/>
            <w:tcBorders/>
            <w:vAlign w:val="center"/>
          </w:tcPr>
          <w:p>
            <w:pPr>
              <w:pStyle w:val="TableContents"/>
              <w:bidi w:val="0"/>
              <w:spacing w:before="0" w:after="283"/>
              <w:jc w:val="both"/>
              <w:rPr>
                <w:caps w:val="false"/>
                <w:smallCaps w:val="false"/>
              </w:rPr>
            </w:pPr>
            <w:r>
              <w:rPr>
                <w:caps w:val="false"/>
                <w:smallCaps w:val="false"/>
              </w:rPr>
              <w:t>●</w:t>
            </w:r>
          </w:p>
        </w:tc>
        <w:tc>
          <w:tcPr>
            <w:tcW w:w="9872"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7">
              <w:r>
                <w:rPr>
                  <w:rStyle w:val="InternetLink"/>
                  <w:rFonts w:ascii="Times New Roman;Times;Serif" w:hAnsi="Times New Roman;Times;Serif"/>
                  <w:b w:val="false"/>
                  <w:i w:val="false"/>
                  <w:caps w:val="false"/>
                  <w:smallCaps w:val="false"/>
                  <w:sz w:val="20"/>
                </w:rPr>
                <w:t>April 16,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May 12,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May 14,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May 28,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June 17, 2026</w:t>
              </w:r>
            </w:hyperlink>
            <w:r>
              <w:rPr>
                <w:rFonts w:ascii="Times New Roman;Times;Serif" w:hAnsi="Times New Roman;Times;Serif"/>
                <w:b w:val="false"/>
                <w:i w:val="false"/>
                <w:caps w:val="false"/>
                <w:smallCaps w:val="false"/>
                <w:sz w:val="20"/>
              </w:rPr>
              <w:t xml:space="preserve">, and </w:t>
            </w:r>
            <w:hyperlink r:id="rId12">
              <w:r>
                <w:rPr>
                  <w:rStyle w:val="InternetLink"/>
                  <w:rFonts w:ascii="Times New Roman;Times;Serif" w:hAnsi="Times New Roman;Times;Serif"/>
                  <w:b w:val="false"/>
                  <w:i w:val="false"/>
                  <w:caps w:val="false"/>
                  <w:smallCaps w:val="false"/>
                  <w:sz w:val="20"/>
                </w:rPr>
                <w:t>June 23, 2026</w:t>
              </w:r>
            </w:hyperlink>
            <w:r>
              <w:rPr>
                <w:rFonts w:ascii="Times New Roman;Times;Serif" w:hAnsi="Times New Roman;Times;Serif"/>
                <w:b w:val="false"/>
                <w:i w:val="false"/>
                <w:caps w:val="false"/>
                <w:smallCaps w:val="false"/>
                <w:sz w:val="20"/>
              </w:rPr>
              <w:t xml:space="preserve">; </w:t>
            </w:r>
          </w:p>
        </w:tc>
      </w:tr>
      <w:tr>
        <w:trPr/>
        <w:tc>
          <w:tcPr>
            <w:tcW w:w="119" w:type="dxa"/>
            <w:tcBorders/>
            <w:vAlign w:val="center"/>
          </w:tcPr>
          <w:p>
            <w:pPr>
              <w:pStyle w:val="TableContents"/>
              <w:bidi w:val="0"/>
              <w:spacing w:before="0" w:after="283"/>
              <w:jc w:val="both"/>
              <w:rPr>
                <w:caps w:val="false"/>
                <w:smallCaps w:val="false"/>
              </w:rPr>
            </w:pPr>
            <w:r>
              <w:rPr>
                <w:caps w:val="false"/>
                <w:smallCaps w:val="false"/>
              </w:rPr>
              <w:t> </w:t>
            </w:r>
          </w:p>
        </w:tc>
        <w:tc>
          <w:tcPr>
            <w:tcW w:w="214" w:type="dxa"/>
            <w:tcBorders/>
            <w:vAlign w:val="center"/>
          </w:tcPr>
          <w:p>
            <w:pPr>
              <w:pStyle w:val="TableContents"/>
              <w:bidi w:val="0"/>
              <w:spacing w:before="0" w:after="283"/>
              <w:jc w:val="both"/>
              <w:rPr>
                <w:caps w:val="false"/>
                <w:smallCaps w:val="false"/>
              </w:rPr>
            </w:pPr>
            <w:r>
              <w:rPr>
                <w:caps w:val="false"/>
                <w:smallCaps w:val="false"/>
              </w:rPr>
              <w:t> </w:t>
            </w:r>
          </w:p>
        </w:tc>
        <w:tc>
          <w:tcPr>
            <w:tcW w:w="98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9" w:type="dxa"/>
            <w:tcBorders/>
            <w:vAlign w:val="center"/>
          </w:tcPr>
          <w:p>
            <w:pPr>
              <w:pStyle w:val="TableContents"/>
              <w:bidi w:val="0"/>
              <w:spacing w:before="0" w:after="283"/>
              <w:jc w:val="both"/>
              <w:rPr>
                <w:caps w:val="false"/>
                <w:smallCaps w:val="false"/>
              </w:rPr>
            </w:pPr>
            <w:r>
              <w:rPr>
                <w:caps w:val="false"/>
                <w:smallCaps w:val="false"/>
              </w:rPr>
              <w:t> </w:t>
            </w:r>
          </w:p>
        </w:tc>
        <w:tc>
          <w:tcPr>
            <w:tcW w:w="214" w:type="dxa"/>
            <w:tcBorders/>
            <w:vAlign w:val="center"/>
          </w:tcPr>
          <w:p>
            <w:pPr>
              <w:pStyle w:val="TableContents"/>
              <w:bidi w:val="0"/>
              <w:spacing w:before="0" w:after="283"/>
              <w:jc w:val="both"/>
              <w:rPr>
                <w:caps w:val="false"/>
                <w:smallCaps w:val="false"/>
              </w:rPr>
            </w:pPr>
            <w:r>
              <w:rPr>
                <w:caps w:val="false"/>
                <w:smallCaps w:val="false"/>
              </w:rPr>
              <w:t>●</w:t>
            </w:r>
          </w:p>
        </w:tc>
        <w:tc>
          <w:tcPr>
            <w:tcW w:w="9872"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w:t>
            </w:r>
            <w:hyperlink r:id="rId13">
              <w:r>
                <w:rPr>
                  <w:rStyle w:val="InternetLink"/>
                  <w:rFonts w:ascii="Times New Roman;Times;Serif" w:hAnsi="Times New Roman;Times;Serif"/>
                  <w:b w:val="false"/>
                  <w:i w:val="false"/>
                  <w:caps w:val="false"/>
                  <w:smallCaps w:val="false"/>
                  <w:sz w:val="20"/>
                </w:rPr>
                <w:t>Exhibit 4.1</w:t>
              </w:r>
            </w:hyperlink>
            <w:r>
              <w:rPr>
                <w:rFonts w:ascii="Times New Roman;Times;Serif" w:hAnsi="Times New Roman;Times;Serif"/>
                <w:b w:val="false"/>
                <w:i w:val="false"/>
                <w:caps w:val="false"/>
                <w:smallCaps w:val="false"/>
                <w:sz w:val="20"/>
              </w:rPr>
              <w:t xml:space="preserve"> to our Form 10-K for the year ended December 31, 2025.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additional documents that we may file with the SEC under Sections 13(a), 13(c), 14 or 15(d) of the Exchange Act after the date hereof but before the completion or termination of this offering (excluding any information not deemed “filed”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previously filed document is deemed to be modified or superseded for purposes of this prospectus to the extent that a statement contained in this prospectus or in a subsequently filed document incorporated by reference herein modifies or supersedes the statement, and any statement contained in this prospectus is deemed to be modified or superseded for purposes of this prospectus to the extent that a statement contained in a subsequently filed document incorporated by reference herein modifies or supersedes the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We will provide to each person, including any beneficial owner, to whom a prospectus is delivered, a copy of any or all of the reports or documents that we incorporate by reference in this prospectus contained in the registration statement (except exhibits to the documents that are not specifically incorporated by reference) at no cost to you, by writing or calling us at: AIxCrypto Holdings, Inc., Attn: Corporate Secretary, 1990 E Grand Ave, El Segundo, CA 90245, telephone number: (310) 853-1683.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these filings are also available through the “Investor Relations” section of our website at </w:t>
      </w:r>
      <w:r>
        <w:rPr>
          <w:rFonts w:ascii="Times New Roman;Times;Serif" w:hAnsi="Times New Roman;Times;Serif"/>
          <w:b w:val="false"/>
          <w:i/>
          <w:caps w:val="false"/>
          <w:smallCaps w:val="false"/>
          <w:sz w:val="20"/>
        </w:rPr>
        <w:t>https://www.aixcrypto.ai/en/</w:t>
      </w:r>
      <w:r>
        <w:rPr>
          <w:rFonts w:ascii="Times New Roman;Times;Serif" w:hAnsi="Times New Roman;Times;Serif"/>
          <w:b w:val="false"/>
          <w:i w:val="false"/>
          <w:caps w:val="false"/>
          <w:smallCaps w:val="false"/>
          <w:sz w:val="20"/>
        </w:rPr>
        <w:t>. For other ways to obtain a copy of these filings, please refer to “Where You Can Find More Information” above.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86125" cy="152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3286125" cy="1524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55,000,000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and expenses in connection with the issuance and distribution of the securities being registered (excluding the underwriting discount and management fee). Except for the SEC registration fee, all amounts are estimates.</w:t>
      </w:r>
    </w:p>
    <w:p>
      <w:pPr>
        <w:pStyle w:val="TextBody"/>
        <w:bidi w:val="0"/>
        <w:spacing w:before="0" w:after="0"/>
        <w:jc w:val="left"/>
        <w:rPr>
          <w:caps w:val="false"/>
          <w:smallCaps w:val="false"/>
        </w:rPr>
      </w:pPr>
      <w:r>
        <w:rPr>
          <w:caps w:val="false"/>
          <w:smallCaps w:val="false"/>
        </w:rPr>
        <w:t> </w:t>
      </w:r>
    </w:p>
    <w:tbl>
      <w:tblPr>
        <w:tblW w:w="4875" w:type="dxa"/>
        <w:jc w:val="left"/>
        <w:tblInd w:w="0" w:type="dxa"/>
        <w:tblLayout w:type="fixed"/>
        <w:tblCellMar>
          <w:top w:w="0" w:type="dxa"/>
          <w:left w:w="0" w:type="dxa"/>
          <w:bottom w:w="0" w:type="dxa"/>
          <w:right w:w="0" w:type="dxa"/>
        </w:tblCellMar>
      </w:tblPr>
      <w:tblGrid>
        <w:gridCol w:w="3725"/>
        <w:gridCol w:w="60"/>
        <w:gridCol w:w="125"/>
        <w:gridCol w:w="890"/>
        <w:gridCol w:w="75"/>
      </w:tblGrid>
      <w:tr>
        <w:trPr/>
        <w:tc>
          <w:tcPr>
            <w:tcW w:w="3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445.66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and registrar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1,000.00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60,000.00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5,000.00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1,000.00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1,000.00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68,445.66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(as amended, the “Certificate of Incorporation”) provides that we shall indemnify, to the fullest extent authorized by the Delaware General Corporation Law (“DGCL”), each person who is involved in any litigation or other proceeding because such person is or was a director or officer of AIxCrypto Holdings, Inc. or is or was serving as an officer or director of another entity at our request, against all expense, loss or liability reasonably incurred or suffered in connection therewith. Our Certificate of Incorporation provides that the right to indemnification includes the right to be paid expenses incurred in defending any proceeding in advance of its final disposition to the fullest extent authorized by the Delaware General Corporation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Delaware General Corporation Law, our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firstLine="72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general liability insurance which covers certain liabilities of our directors and officers arising out of claims based on acts or omissions in their capacities as directors or officers, including liabilities under the Securities Act of 1933,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is qualified in its entirety by reference to the Company’s Certificate of Incorporation and bylaws.</w:t>
      </w:r>
    </w:p>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during the preceding three years involving sales of our securities that were not registered under the Securities Act. All share and per share data have been adjusted retrospectively to reflect the 1-for-50 reverse stock split of our Common Stock that took effect on November 5, 2024 (the “Reverse Stock Split”).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includes all unregistered sales of securities by the Company from the filing date of its Annual Report on Form 10-K for the fiscal year ended December 31, 2025 through the date of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and December 2023, we issued 6,193 shares of Common Stock to Alpha in lieu of cash for monthly redemption payments on the 2022 Debenture at a weighted average price of $35.52 per share. No underwriter was involved. The issuances to Alpha were undertaken in reliance upon the exemptions from registration described in Section 3(a)(9)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March April and May 2024, we issued a total of 32,092 shares of Common Stock to Alpha in lieu of cash for monthly redemption payments on the 2022 Debenture at a weighted average price of $14.47 per share. No underwriter was involved. The issuances to Alpha were undertaken in reliance upon the exemptions from registration described in Section 3(a)(9)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to Alpha an 8% Convertible Debenture (the “2024 Alpha Debenture”) in the aggregate principal amount of $550,000 for a purchase price of $500,000. The 2024 Alpha Debenture matures no later than December 31, 2024 and is convertible, at any time, and from time to time, at Alpha’s option, into shares of our Common Stock, at $30.56 per share, subject to adjustment as described in the 2024 Alpha Debenture. The 2024 Alpha Debenture accrues interest on its outstanding principal balance at the rate of 8% per annum, which interest is payable at maturity. Additionally, we issued a 5-year Common Stock purchase warrant (the “2024 Alpha Warrant”) to Alpha to purchase up to 18,001 shares of our Common Stock at a price of $13.00 per share, subject to adjustment as described in the 2024 Alpha Warrant. No underwriter was involved. The issuance to Alpha was undertaken in reliance upon the exemption from registration described in Section 4(a)(2) of the Securities Act. Both the 2024 Alpha Debenture and the 2024 Alpha Warrant include a beneficial ownership blocker of 9.99%, which may only be waived by Alpha upon 61 days’ notice to us. Alpha has executed a waiver relinquishing its rights to receive prior notice of, and to participate in, this offering, and waived any provision of the 2024 Alpha Debenture that would otherwise result in the acceleration of the maturity date upon the completion of this offering to a date earlier than December 31,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issued to Yi Hua Chen (“Chen”) an 8% Convertible Debenture (the “2024 Chen Debenture”) in the aggregate principal amount of $1,100,000 for a purchase price of $1,000,000. The 2024 Chen Debenture matures no later than December 31, 2024 and is convertible, at any time, and from time to time, at Chen’s option, into shares of our Common Stock, at $30.56 per share, subject to adjustment as described in the 2024 Chen Debenture. The 2024 Chen Debenture accrues interest on its outstanding principal balance at the rate of 8% per annum, which interest is payable at maturity. Additionally, we issued a 5-year Common Stock purchase warrant (the “2024 Chen Warrant”) to Chen to purchase up to 36,001 shares of our Common Stock at a price of $13.00 per share, subject to adjustment as described in the 2024 Chen Warrant. No underwriter was involved. The issuance to Chen was undertaken in reliance upon the exemption from registration described in Section 4(a)(2) of the Securities Act. Both the 2024 Chen Debenture and the 2024 Chen Warrant include a beneficial ownership blocker of 9.99%, which may only be waived by Chen upon 61 days’ notice to us. Our issuance to Chen of the 2024 Chen Debenture and the 2024 Chen Warrant was pursuant to Chen’s exercise of a purchase option right which we had granted to Alpha in connection with the 2024 Alpha Debenture/2024 Alpha Warrant transaction, which purchase option right Alpha had then assigned to Chen. Chen has executed a waiver relinquishing its rights to receive prior notice of, and to participate in, this offering, and waived any provision of the 2024 Chen Debenture that would otherwise result in the acceleration of the maturity date upon the completion of this offering to a date earlier than December 31,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5, 2024, we issued a total of 24,379 shares of Common Stock to Alpha, the holder of the Company’s 8% Senior Convertible Debenture due December 22, 2025, who completed its series of voluntary conversions of the entire principal amount of the debenture, which had an original principal balance of $3,300,000, into Company Common Stock. The issuances were undertaken in reliance upon the exemption from registration described in Section 3(a)(9)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2024, we issued a senior note to an institutional investor pursuant to certain securities purchase agreement (“2024 Senior Note Agreement”) dated July 5, 2024, providing for the Company to issue to the investor at par a Senior Note with the following characteristics and terms, against the investor’s loan of $2,000,000 in cash: (a) an original principal amount of $2,000,000, (b) unsecured, (c) nonconvertible, (d) scheduled maturity date of July 8, 2025, (e) interest at the rate of 18% per annum, (f) requirement for partial prepayments from a percentage of any future Company financings, and (g) otherwise, principal and interest on the senior note not payable until maturity. Pursuant to the 2024 Senior Note Agreement, which also required resignations and appointments by the Company’s Board, on July 5, 2024, Richard David, Sidney Emery, Kurt Kruger, and Ira Ritter each resigned from their respective positions as members of the Company’s Board, effective July 12, 2024. The Company’s Board appointed Campbell Becher, Robert Lim, and Cody Price to serve as directors on the Board, effective July 12, 2024. The issuance was undertaken in reliance upon the exemption from registration described in Section 4(a)(2) of the Securities Act.</w:t>
      </w:r>
    </w:p>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we issued a total of 2,843 shares of restricted common stocks in settlement of accounts payable to former members of the Company’s Board. The issuance was undertaken in reliance upon the exemption from registration described in Section 4(a)(2)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2024, we issued a total of 7,842 shares of our Common Stock upon Alpha’s partial conversion of the 2024 Alpha Debenture at $6.50 per share for a total of $50,979 principal. The issuances to Alpha were undertaken in reliance upon the exemptions from registration described in Section 3(a)(9)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we issued to the Investors 5,102 shares of Series A-2 - Preferred Stock at a purchase price of $1,000 per share, for an aggregate purchase price of $5.1 million, to certain institutional investors pursuant November Securities Purchase Agreement. The issuances were undertaken in reliance upon the exemption from registration described in Section 4(a)(2) and/or Rule 506(b) of Regulation D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we issued 1,154 shares of our Series A-2 Convertible Preferred Stock, par value $0.001 per share, to Yi Hua Chen pursuant to the Exchange Agreement dated November 18, 2024. The issuances were undertaken in reliance upon the exemption from registration described in Section 4(a)(2)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2025, we issued and sold an aggregate of 4,500 shares of its newly designated Series A-3 Preferred, par value $0.001 per share, at a purchase price of $1,000 per share, for aggregate gross proceeds of approximately $4.5 million, to certain investors pursuant the Securities Purchase Agreement. The issuances were undertaken in reliance upon the exemption from registration described in Section 4(a)(2) and/or Rule 506(b) of Regulation D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Company entered into a Subscription Agreement (the “Subscription Agreement”) with certain investors (the “Subscribers”), including Faraday Future Intelligent Electric Inc. (NASDAQ: FFAI)(the “Lead Investor”) pursuant to which the investors agreed to purchase $40,700,000 in cash of Common Stock and shares of a newly created Series B Convertible Preferred Stock. The purchase price of the Common Stock was $2.246 per share and the purchase price for the Series B Stock was $1,000 per share (the “Stated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completed the offering to the Subscription Agreement and issued shares of Common Stock and Series B Convertible Preferred Stock to the investors, with allocations structured such that no purchaser’s ownership of Common Stock exceeded 19.99% of the number of shares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net proceeds to pay existing debt and fund existing business operations. The Series B Stock is convertible into Common Stock following stockholder approval required under Nasdaq Rule 5635, votes with Common Stock on an as-converted basis, and has a liquidation preference of $1,000 per share plus accrued dividends.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as part of this registration statement.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9"/>
        <w:gridCol w:w="60"/>
        <w:gridCol w:w="6604"/>
        <w:gridCol w:w="60"/>
        <w:gridCol w:w="500"/>
        <w:gridCol w:w="60"/>
        <w:gridCol w:w="675"/>
        <w:gridCol w:w="60"/>
        <w:gridCol w:w="650"/>
        <w:gridCol w:w="60"/>
        <w:gridCol w:w="697"/>
      </w:tblGrid>
      <w:tr>
        <w:trPr/>
        <w:tc>
          <w:tcPr>
            <w:tcW w:w="77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60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9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Amended and Restated Certificate of Incorporation of Ritter Pharmaceuticals, Inc.</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7/1/2015</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0"/>
              <w:jc w:val="both"/>
              <w:rPr/>
            </w:pPr>
            <w:hyperlink r:id="rId16">
              <w:r>
                <w:rPr>
                  <w:rStyle w:val="InternetLink"/>
                  <w:rFonts w:ascii="Times New Roman;Times;Serif" w:hAnsi="Times New Roman;Times;Serif"/>
                  <w:b w:val="false"/>
                  <w:i w:val="false"/>
                  <w:caps w:val="false"/>
                  <w:smallCaps w:val="false"/>
                  <w:sz w:val="20"/>
                </w:rPr>
                <w:t>Second Amended and Restated Certificate of Designation of Preferences, Rights and Limitations of Series A-3 Preferred Stock, as filed with the Secretary of State of the State of Delaware on July 28, 2025.</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7/28/2025</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Certificate of Amendment to the Amended and Restated Certificate of Incorporation</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9/15/2017</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Certificate of Amendment to the Amended and Restated Certificate of Incorporation</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3/22/2018</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Certificate of Designation of Preferences, Rights and Limitations of Series Alpha Preferred Stock of the Company, filed with the Delaware Secretary of State on May 29,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May 22,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Certificate of Merger, filed with the Delaware Secretary of State on May 22,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bl>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0"/>
        <w:gridCol w:w="60"/>
        <w:gridCol w:w="7183"/>
        <w:gridCol w:w="60"/>
        <w:gridCol w:w="439"/>
        <w:gridCol w:w="60"/>
        <w:gridCol w:w="712"/>
        <w:gridCol w:w="60"/>
        <w:gridCol w:w="380"/>
        <w:gridCol w:w="60"/>
        <w:gridCol w:w="671"/>
      </w:tblGrid>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May 22, 2020</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Certificate of Amendment to the Amended and Restated Certificate of Incorporation, filed with the Delaware Secretary of State on November 21,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11/22/2022</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Certificate of Designation of Series A2 Preferred Stock filed with the Secretary of State of Delaware on November 18,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Second Amended and Restated Certificate of Designation of Preferences, Rights and Limitations of Series A-3 Preferred, as filed with the Secretary of State of the State of Delaware on July 28,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Certification of Stock Designation of Rights and Preferences of Series B Convertible Preferred Stock as filed with the Secretary of State of Delaware on September 29,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3.1(i)(u)</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November 14,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Amended and Restated Bylaws of the Company, as of August 10, 2021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8/13/2021</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Description of Common Stock</w:t>
              </w:r>
            </w:hyperlink>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10-K/A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001-37428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7/7/2023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Loeb &amp; Loeb LLP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Securities Purchase Agreement, dated February 26, 2024, by and between Qualigen Therapeutics, Inc. and Alpha Capital Anstalt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8% Convertible Debenture Due December 31, 2024 in favor of Alpha Capital Anstalt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8% Convertible Debenture due December 31, 2024 in favor of Yi Hua Chen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Co-Development Agreement, dated April 11, 2024, between Qualigen Therapeutics, Inc. and Marizyme,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Amended and Restated Secured Demand Promissory Note (including Security Agreement), dated August 21, 2025, by and between Marizyme, Inc. and Qualigen Therapeutics,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08/27/2025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Amendment No. 1 to Amended and Restated Secured Demand Promissory Note, dated September 15, 2025, by and between Marizyme, Inc. and Qualigen Therapeutics,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09/16/2025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Common Share Purchase Agreement, dated as of June 16, 2026, between AIxCrypto Holdings, Inc. and Gold King Arthur Holding Limited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6/17/2026</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Subsidiaries of the Registrant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HTL International, LLC,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rPr>
                <w:t>Consent of WithumSmith+Brown, PC,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Loeb &amp; Loeb LLP (included in Exhibit 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0"/>
              <w:jc w:val="both"/>
              <w:rPr/>
            </w:pPr>
            <w:hyperlink w:anchor="a_018">
              <w:r>
                <w:rPr>
                  <w:rStyle w:val="InternetLink"/>
                  <w:rFonts w:ascii="Times New Roman;Times;Serif" w:hAnsi="Times New Roman;Times;Serif"/>
                  <w:b w:val="false"/>
                  <w:i w:val="false"/>
                  <w:caps w:val="false"/>
                  <w:smallCaps w:val="false"/>
                  <w:sz w:val="20"/>
                </w:rPr>
                <w:t>Power of Attorney (included on the signature page of this Registration Statement).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83"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 xml:space="preserve">Filing Fee Table. </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45"/>
        <w:gridCol w:w="125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w:t>
            </w:r>
          </w:p>
        </w:tc>
      </w:tr>
    </w:tbl>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 provided, however, that the undertakings set forth in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that are incorporated by reference in this registration statement or is contained in a form of prospectus filed pursuant to Rule 424(b) that is part of this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as amended, to any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 (b)(3) shall be deemed to be part of this registration statement as of the date the filed prospectus was deemed part of and included in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 (b)(2),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purposes of determining any liability under the Securities Act of 1933, as amended, each filing of the registrant’s annual report pursuant to Section 13(a) or Section 15(d) of the Securities Exchange Act of 1934, as amended (and, where applicable, each filing of an employee benefit plan’s annual report pursuant to Section 15(d) of the Securities Exchange Act of 1934, as amended)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El Segundo, State of California, on July 27, 2026.</w:t>
      </w:r>
    </w:p>
    <w:p>
      <w:pPr>
        <w:pStyle w:val="TextBody"/>
        <w:bidi w:val="0"/>
        <w:spacing w:before="0" w:after="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05"/>
        <w:gridCol w:w="2345"/>
        <w:gridCol w:w="75"/>
      </w:tblGrid>
      <w:tr>
        <w:trPr/>
        <w:tc>
          <w:tcPr>
            <w:tcW w:w="29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Jiawei Wang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Jiawei Wang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on Form S-1 has been signed by the following persons in the capacities and on the dates indicated.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Kevin A. Richardson II and Jiawei Wang, and each of them,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S-1, and to file the same, with all exhibits thereto, and all other documents in connection therewith, with the Securities and Exchange Commission and any applicable securities exchange or securities self-regulatory body,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6960" w:type="dxa"/>
        <w:jc w:val="left"/>
        <w:tblInd w:w="0" w:type="dxa"/>
        <w:tblLayout w:type="fixed"/>
        <w:tblCellMar>
          <w:top w:w="0" w:type="dxa"/>
          <w:left w:w="0" w:type="dxa"/>
          <w:bottom w:w="28" w:type="dxa"/>
          <w:right w:w="0" w:type="dxa"/>
        </w:tblCellMar>
      </w:tblPr>
      <w:tblGrid>
        <w:gridCol w:w="1340"/>
        <w:gridCol w:w="60"/>
        <w:gridCol w:w="4355"/>
        <w:gridCol w:w="60"/>
        <w:gridCol w:w="1145"/>
      </w:tblGrid>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Jiawei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Jay Sheng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Sheng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Chen Shi</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Chairman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 Shi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Chad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Chad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caps w:val="false"/>
          <w:smallCaps w:val="false"/>
        </w:rPr>
      </w:pPr>
      <w:bookmarkStart w:id="21" w:name="ex23-1.htm"/>
      <w:bookmarkStart w:id="22" w:name="ksex231"/>
      <w:bookmarkEnd w:id="21"/>
      <w:bookmarkEnd w:id="22"/>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S-1 of our report dated March 30, 2026 with respect to the audited financial statements of AIxCrypto Holdings, Inc. (the “Company”) included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2224" w:type="dxa"/>
        <w:jc w:val="left"/>
        <w:tblInd w:w="0" w:type="dxa"/>
        <w:tblLayout w:type="fixed"/>
        <w:tblCellMar>
          <w:top w:w="0" w:type="dxa"/>
          <w:left w:w="0" w:type="dxa"/>
          <w:bottom w:w="0" w:type="dxa"/>
          <w:right w:w="0" w:type="dxa"/>
        </w:tblCellMar>
      </w:tblPr>
      <w:tblGrid>
        <w:gridCol w:w="2143"/>
        <w:gridCol w:w="81"/>
      </w:tblGrid>
      <w:tr>
        <w:trPr/>
        <w:tc>
          <w:tcPr>
            <w:tcW w:w="222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HTL International, LLC</w:t>
            </w:r>
          </w:p>
        </w:tc>
      </w:tr>
      <w:tr>
        <w:trPr/>
        <w:tc>
          <w:tcPr>
            <w:tcW w:w="2143" w:type="dxa"/>
            <w:tcBorders/>
            <w:vAlign w:val="center"/>
          </w:tcPr>
          <w:p>
            <w:pPr>
              <w:pStyle w:val="TableContents"/>
              <w:bidi w:val="0"/>
              <w:spacing w:before="0" w:after="283"/>
              <w:jc w:val="both"/>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HTL International, LLC</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2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tc>
      </w:tr>
      <w:tr>
        <w:trPr/>
        <w:tc>
          <w:tcPr>
            <w:tcW w:w="2143" w:type="dxa"/>
            <w:tcBorders/>
            <w:vAlign w:val="center"/>
          </w:tcPr>
          <w:p>
            <w:pPr>
              <w:pStyle w:val="TableContents"/>
              <w:bidi w:val="0"/>
              <w:spacing w:before="0" w:after="283"/>
              <w:jc w:val="both"/>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rPr>
      </w:pPr>
      <w:bookmarkStart w:id="23" w:name="ex23-2.htm"/>
      <w:bookmarkStart w:id="24" w:name="ksex232"/>
      <w:bookmarkEnd w:id="23"/>
      <w:bookmarkEnd w:id="2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this Registration Statement on Form S-1 of our report dated June 30, 2025, relating to the consolidated financial statements of AIxCrypto Holdings, Inc. (formerly known as Qualigen Therapeutics, Inc.) as of and for the year ended December 31, 2024 appearing in the entity’s Annual Report on Form 10-K for the year ended December 31, 2025. We also consent to the reference to us under the caption “Experts” in the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 w:name="ex107.htm"/>
      <w:bookmarkStart w:id="26" w:name="ksex107"/>
      <w:bookmarkStart w:id="27" w:name="ex107.htm"/>
      <w:bookmarkStart w:id="28" w:name="ksex107"/>
      <w:bookmarkEnd w:id="27"/>
      <w:bookmarkEnd w:id="28"/>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AIxCrypto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4,044,975 </w:t>
            </w:r>
          </w:p>
        </w:tc>
        <w:tc>
          <w:tcPr>
            <w:tcW w:w="1156" w:type="dxa"/>
            <w:tcBorders/>
            <w:shd w:fill="E7E7E2" w:val="clear"/>
            <w:vAlign w:val="center"/>
          </w:tcPr>
          <w:p>
            <w:pPr>
              <w:pStyle w:val="TableContents"/>
              <w:bidi w:val="0"/>
              <w:spacing w:before="0" w:after="283"/>
              <w:jc w:val="right"/>
              <w:rPr/>
            </w:pPr>
            <w:r>
              <w:rPr/>
              <w:t xml:space="preserve">$ 0.7978 </w:t>
            </w:r>
          </w:p>
        </w:tc>
        <w:tc>
          <w:tcPr>
            <w:tcW w:w="1546" w:type="dxa"/>
            <w:tcBorders/>
            <w:shd w:fill="E7E7E2" w:val="clear"/>
            <w:vAlign w:val="center"/>
          </w:tcPr>
          <w:p>
            <w:pPr>
              <w:pStyle w:val="TableContents"/>
              <w:bidi w:val="0"/>
              <w:spacing w:before="0" w:after="283"/>
              <w:jc w:val="right"/>
              <w:rPr/>
            </w:pPr>
            <w:r>
              <w:rPr/>
              <w:t xml:space="preserve">$ 3,227,081.05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$ 445.66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9" w:name="MaxAggtOfferingPrice"/>
            <w:bookmarkEnd w:id="29"/>
            <w:r>
              <w:rPr/>
              <w:t xml:space="preserve">$ 3,227,081.05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0" w:name="TotalFeeAmt"/>
            <w:bookmarkEnd w:id="30"/>
            <w:r>
              <w:rPr/>
              <w:t xml:space="preserve">$ 445.66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TotalPreviouslyPaid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TotalOffset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NetFeeAmt"/>
            <w:bookmarkEnd w:id="33"/>
            <w:r>
              <w:rPr/>
              <w:t xml:space="preserve">$ 445.66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shares of the Registrant's Common Stock, $0.001 par value per share ("Common Stock"), that may become issuable upon any share split, share dividend, recapitalization or other similar transaction effected without the Registrant's receipt of consideration which results in an increase in the number of the outstanding shares of Common Stock. (b) The proposed maximum offering price per share of $0.7978 is estimated solely for the purpose of calculating the registration fee pursuant to Rule 457(c) of the Securities Act, and is based upon the average of the high and low prices of the Registrant's Common Stock as reported on the Nasdaq Capital Market on July 24, 2026.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0702/000149315226013434/form10-k.htm" TargetMode="External"/><Relationship Id="rId4" Type="http://schemas.openxmlformats.org/officeDocument/2006/relationships/hyperlink" Target="https://www.sec.gov/Archives/edgar/data/1460702/000149315226013434/form10-k.htm" TargetMode="External"/><Relationship Id="rId5" Type="http://schemas.openxmlformats.org/officeDocument/2006/relationships/hyperlink" Target="https://www.sec.gov/Archives/edgar/data/1460702/000149315226033419/form10-ka.htm" TargetMode="External"/><Relationship Id="rId6" Type="http://schemas.openxmlformats.org/officeDocument/2006/relationships/hyperlink" Target="https://www.sec.gov/Archives/edgar/data/1460702/000149315226022250/form10-q.htm" TargetMode="External"/><Relationship Id="rId7" Type="http://schemas.openxmlformats.org/officeDocument/2006/relationships/hyperlink" Target="https://www.sec.gov/Archives/edgar/data/1460702/000149315226017084/form8-k.htm" TargetMode="External"/><Relationship Id="rId8" Type="http://schemas.openxmlformats.org/officeDocument/2006/relationships/hyperlink" Target="https://www.sec.gov/Archives/edgar/data/1460702/000149315226022334/form8-k.htm" TargetMode="External"/><Relationship Id="rId9" Type="http://schemas.openxmlformats.org/officeDocument/2006/relationships/hyperlink" Target="https://www.sec.gov/Archives/edgar/data/1460702/000149315226023124/form8-k.htm" TargetMode="External"/><Relationship Id="rId10" Type="http://schemas.openxmlformats.org/officeDocument/2006/relationships/hyperlink" Target="https://www.sec.gov/Archives/edgar/data/1460702/000149315226025670/form8-k.htm" TargetMode="External"/><Relationship Id="rId11" Type="http://schemas.openxmlformats.org/officeDocument/2006/relationships/hyperlink" Target="https://www.sec.gov/Archives/edgar/data/1460702/000149315226029096/form8-k.htm" TargetMode="External"/><Relationship Id="rId12" Type="http://schemas.openxmlformats.org/officeDocument/2006/relationships/hyperlink" Target="https://www.sec.gov/Archives/edgar/data/1460702/000149315226029782/form8-k.htm" TargetMode="External"/><Relationship Id="rId13" Type="http://schemas.openxmlformats.org/officeDocument/2006/relationships/hyperlink" Target="https://www.sec.gov/Archives/edgar/data/1460702/000149315223024027/ex4-9.htm" TargetMode="External"/><Relationship Id="rId14" Type="http://schemas.openxmlformats.org/officeDocument/2006/relationships/image" Target="media/image2.jpeg"/><Relationship Id="rId15" Type="http://schemas.openxmlformats.org/officeDocument/2006/relationships/hyperlink" Target="https://www.sec.gov/Archives/edgar/data/1460702/000157104915005411/t1501532_ex3-1.htm" TargetMode="External"/><Relationship Id="rId16" Type="http://schemas.openxmlformats.org/officeDocument/2006/relationships/hyperlink" Target="https://www.sec.gov/Archives/edgar/data/1460702/000164117225021174/ex3-1.htm" TargetMode="External"/><Relationship Id="rId17" Type="http://schemas.openxmlformats.org/officeDocument/2006/relationships/hyperlink" Target="https://www.sec.gov/Archives/edgar/data/1460702/000149315217010647/ex3-1.htm" TargetMode="External"/><Relationship Id="rId18" Type="http://schemas.openxmlformats.org/officeDocument/2006/relationships/hyperlink" Target="https://www.sec.gov/Archives/edgar/data/1460702/000149315218003738/ex3-1.htm" TargetMode="External"/><Relationship Id="rId19" Type="http://schemas.openxmlformats.org/officeDocument/2006/relationships/hyperlink" Target="https://www.sec.gov/Archives/edgar/data/1460702/000149315220010166/ex3-1.htm" TargetMode="External"/><Relationship Id="rId20" Type="http://schemas.openxmlformats.org/officeDocument/2006/relationships/hyperlink" Target="https://www.sec.gov/Archives/edgar/data/1460702/000149315220010166/ex3-2.htm" TargetMode="External"/><Relationship Id="rId21" Type="http://schemas.openxmlformats.org/officeDocument/2006/relationships/hyperlink" Target="https://www.sec.gov/Archives/edgar/data/1460702/000149315220010166/ex3-3.htm" TargetMode="External"/><Relationship Id="rId22" Type="http://schemas.openxmlformats.org/officeDocument/2006/relationships/hyperlink" Target="https://www.sec.gov/Archives/edgar/data/1460702/000149315220010166/ex3-4.htm" TargetMode="External"/><Relationship Id="rId23" Type="http://schemas.openxmlformats.org/officeDocument/2006/relationships/hyperlink" Target="https://www.sec.gov/Archives/edgar/data/1460702/000149315222033252/ex3-1.htm" TargetMode="External"/><Relationship Id="rId24" Type="http://schemas.openxmlformats.org/officeDocument/2006/relationships/hyperlink" Target="https://www.sec.gov/Archives/edgar/data/1460702/000149315224047143/ex3-2.htm" TargetMode="External"/><Relationship Id="rId25" Type="http://schemas.openxmlformats.org/officeDocument/2006/relationships/hyperlink" Target="https://www.sec.gov/Archives/edgar/data/1460702/000164117225021174/ex3-1.htm" TargetMode="External"/><Relationship Id="rId26" Type="http://schemas.openxmlformats.org/officeDocument/2006/relationships/hyperlink" Target="https://www.sec.gov/Archives/edgar/data/1460702/000149315225014965/ex4-1.htm" TargetMode="External"/><Relationship Id="rId27" Type="http://schemas.openxmlformats.org/officeDocument/2006/relationships/hyperlink" Target="https://www.sec.gov/Archives/edgar/data/1460702/000149315225023728/ex3-1.htm" TargetMode="External"/><Relationship Id="rId28" Type="http://schemas.openxmlformats.org/officeDocument/2006/relationships/hyperlink" Target="https://www.sec.gov/Archives/edgar/data/1460702/000149315221019709/ex3-1.htm" TargetMode="External"/><Relationship Id="rId29" Type="http://schemas.openxmlformats.org/officeDocument/2006/relationships/hyperlink" Target="https://www.sec.gov/Archives/edgar/data/1460702/000149315223024027/ex4-9.htm" TargetMode="External"/><Relationship Id="rId30" Type="http://schemas.openxmlformats.org/officeDocument/2006/relationships/hyperlink" Target="https://www.sec.gov/Archives/edgar/data/1460702/000149315224007928/ex10-1.htm" TargetMode="External"/><Relationship Id="rId31" Type="http://schemas.openxmlformats.org/officeDocument/2006/relationships/hyperlink" Target="https://www.sec.gov/Archives/edgar/data/1460702/000149315224007928/ex10-2.htm" TargetMode="External"/><Relationship Id="rId32" Type="http://schemas.openxmlformats.org/officeDocument/2006/relationships/hyperlink" Target="https://www.sec.gov/Archives/edgar/data/1460702/000149315224014821/ex10-2.htm" TargetMode="External"/><Relationship Id="rId33" Type="http://schemas.openxmlformats.org/officeDocument/2006/relationships/hyperlink" Target="https://www.sec.gov/Archives/edgar/data/1460702/000149315224014821/ex10-4.htm" TargetMode="External"/><Relationship Id="rId34" Type="http://schemas.openxmlformats.org/officeDocument/2006/relationships/hyperlink" Target="https://www.sec.gov/Archives/edgar/data/1460702/000164117225025702/ex10-1.htm" TargetMode="External"/><Relationship Id="rId35" Type="http://schemas.openxmlformats.org/officeDocument/2006/relationships/hyperlink" Target="https://www.sec.gov/Archives/edgar/data/1460702/000149315225013646/ex10-2.htm" TargetMode="External"/><Relationship Id="rId36" Type="http://schemas.openxmlformats.org/officeDocument/2006/relationships/hyperlink" Target="https://www.sec.gov/Archives/edgar/data/1460702/000149315226029096/ex10-1.htm" TargetMode="External"/><Relationship Id="rId37" Type="http://schemas.openxmlformats.org/officeDocument/2006/relationships/hyperlink" Target="https://www.sec.gov/Archives/edgar/data/1460702/000164117225017212/ex21-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20887</Words>
  <Characters>110507</Characters>
  <CharactersWithSpaces>131900</CharactersWithSpaces>
  <Paragraphs>2043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